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7C" w:rsidRDefault="00187BBF">
      <w:pPr>
        <w:spacing w:after="0" w:line="240" w:lineRule="auto"/>
        <w:ind w:left="1" w:hanging="3"/>
        <w:jc w:val="center"/>
        <w:rPr>
          <w:color w:val="000000"/>
          <w:sz w:val="28"/>
          <w:szCs w:val="28"/>
        </w:rPr>
      </w:pPr>
      <w:bookmarkStart w:id="0" w:name="_GoBack"/>
      <w:bookmarkEnd w:id="0"/>
      <w:r>
        <w:rPr>
          <w:b/>
          <w:color w:val="000000"/>
          <w:sz w:val="28"/>
          <w:szCs w:val="28"/>
        </w:rPr>
        <w:t>Action Plan for a Seven-Year Program Review Cycle (2031-32)</w:t>
      </w:r>
    </w:p>
    <w:p w:rsidR="0077447C" w:rsidRDefault="00187BBF">
      <w:pPr>
        <w:spacing w:after="0" w:line="240" w:lineRule="auto"/>
        <w:ind w:left="1" w:hanging="3"/>
        <w:jc w:val="center"/>
        <w:rPr>
          <w:color w:val="000000"/>
          <w:sz w:val="28"/>
          <w:szCs w:val="28"/>
        </w:rPr>
      </w:pPr>
      <w:r>
        <w:rPr>
          <w:b/>
          <w:color w:val="000000"/>
          <w:sz w:val="28"/>
          <w:szCs w:val="28"/>
        </w:rPr>
        <w:t>Years: 20XX-20XX</w:t>
      </w:r>
    </w:p>
    <w:p w:rsidR="0077447C" w:rsidRDefault="0077447C">
      <w:pPr>
        <w:spacing w:after="0" w:line="240" w:lineRule="auto"/>
        <w:ind w:left="1" w:hanging="3"/>
        <w:jc w:val="center"/>
        <w:rPr>
          <w:color w:val="000000"/>
          <w:sz w:val="28"/>
          <w:szCs w:val="28"/>
        </w:rPr>
      </w:pPr>
    </w:p>
    <w:p w:rsidR="0077447C" w:rsidRDefault="00187BBF">
      <w:pPr>
        <w:widowControl w:val="0"/>
        <w:spacing w:after="120" w:line="240" w:lineRule="auto"/>
        <w:ind w:left="1" w:hanging="3"/>
        <w:rPr>
          <w:color w:val="1A1A1A"/>
          <w:sz w:val="28"/>
          <w:szCs w:val="28"/>
        </w:rPr>
      </w:pPr>
      <w:r>
        <w:rPr>
          <w:b/>
          <w:color w:val="1A1A1A"/>
          <w:sz w:val="28"/>
          <w:szCs w:val="28"/>
        </w:rPr>
        <w:t>Department _______________________________</w:t>
      </w:r>
    </w:p>
    <w:p w:rsidR="0077447C" w:rsidRDefault="00187BBF">
      <w:pPr>
        <w:widowControl w:val="0"/>
        <w:spacing w:after="120" w:line="240" w:lineRule="auto"/>
        <w:ind w:left="0" w:hanging="2"/>
        <w:rPr>
          <w:color w:val="1A1A1A"/>
          <w:sz w:val="24"/>
          <w:szCs w:val="24"/>
        </w:rPr>
      </w:pPr>
      <w:r>
        <w:rPr>
          <w:color w:val="1A1A1A"/>
          <w:sz w:val="24"/>
          <w:szCs w:val="24"/>
        </w:rPr>
        <w:t xml:space="preserve">This document is intended to be a roadmap for the department over the next seven years, helping organize program assessment and review that will be conducted. </w:t>
      </w:r>
      <w:r>
        <w:rPr>
          <w:color w:val="1A1A1A"/>
          <w:sz w:val="24"/>
          <w:szCs w:val="24"/>
        </w:rPr>
        <w:t xml:space="preserve">Please </w:t>
      </w:r>
      <w:r>
        <w:rPr>
          <w:color w:val="1A1A1A"/>
          <w:sz w:val="24"/>
          <w:szCs w:val="24"/>
        </w:rPr>
        <w:t>identify</w:t>
      </w:r>
      <w:r>
        <w:rPr>
          <w:color w:val="1A1A1A"/>
          <w:sz w:val="24"/>
          <w:szCs w:val="24"/>
        </w:rPr>
        <w:t xml:space="preserve"> all areas of the program that will be addressed, improved upon or changed, </w:t>
      </w:r>
      <w:r>
        <w:rPr>
          <w:color w:val="1A1A1A"/>
          <w:sz w:val="24"/>
          <w:szCs w:val="24"/>
        </w:rPr>
        <w:t>provid</w:t>
      </w:r>
      <w:r>
        <w:rPr>
          <w:color w:val="1A1A1A"/>
          <w:sz w:val="24"/>
          <w:szCs w:val="24"/>
        </w:rPr>
        <w:t xml:space="preserve">ing achievable goals and outcomes </w:t>
      </w:r>
      <w:r>
        <w:rPr>
          <w:sz w:val="24"/>
          <w:szCs w:val="24"/>
        </w:rPr>
        <w:t>according to their priority. T</w:t>
      </w:r>
      <w:r>
        <w:rPr>
          <w:sz w:val="24"/>
          <w:szCs w:val="24"/>
        </w:rPr>
        <w:t>his</w:t>
      </w:r>
      <w:r>
        <w:rPr>
          <w:sz w:val="24"/>
          <w:szCs w:val="24"/>
        </w:rPr>
        <w:t xml:space="preserve"> document is to be completed together with the </w:t>
      </w:r>
      <w:r>
        <w:rPr>
          <w:sz w:val="24"/>
          <w:szCs w:val="24"/>
        </w:rPr>
        <w:t>Multi-Year</w:t>
      </w:r>
      <w:r>
        <w:rPr>
          <w:sz w:val="24"/>
          <w:szCs w:val="24"/>
        </w:rPr>
        <w:t xml:space="preserve"> Assessment Plan. </w:t>
      </w:r>
    </w:p>
    <w:tbl>
      <w:tblPr>
        <w:tblStyle w:val="a"/>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
        <w:gridCol w:w="1849"/>
        <w:gridCol w:w="3145"/>
        <w:gridCol w:w="2696"/>
        <w:gridCol w:w="2696"/>
        <w:gridCol w:w="2354"/>
      </w:tblGrid>
      <w:tr w:rsidR="0077447C">
        <w:tc>
          <w:tcPr>
            <w:tcW w:w="436" w:type="dxa"/>
            <w:shd w:val="clear" w:color="auto" w:fill="D5DCE4"/>
          </w:tcPr>
          <w:p w:rsidR="0077447C" w:rsidRDefault="00187BBF">
            <w:pPr>
              <w:spacing w:after="0" w:line="240" w:lineRule="auto"/>
              <w:ind w:left="0" w:hanging="2"/>
            </w:pPr>
            <w:r>
              <w:rPr>
                <w:b/>
              </w:rPr>
              <w:t>#</w:t>
            </w:r>
          </w:p>
        </w:tc>
        <w:tc>
          <w:tcPr>
            <w:tcW w:w="1849" w:type="dxa"/>
            <w:shd w:val="clear" w:color="auto" w:fill="D5DCE4"/>
          </w:tcPr>
          <w:p w:rsidR="0077447C" w:rsidRDefault="00187BBF">
            <w:pPr>
              <w:pBdr>
                <w:top w:val="nil"/>
                <w:left w:val="nil"/>
                <w:bottom w:val="nil"/>
                <w:right w:val="nil"/>
                <w:between w:val="nil"/>
              </w:pBdr>
              <w:spacing w:after="0" w:line="240" w:lineRule="auto"/>
              <w:ind w:left="0" w:hanging="2"/>
              <w:rPr>
                <w:color w:val="000000"/>
                <w:sz w:val="24"/>
                <w:szCs w:val="24"/>
              </w:rPr>
            </w:pPr>
            <w:r>
              <w:rPr>
                <w:color w:val="000000"/>
                <w:sz w:val="24"/>
                <w:szCs w:val="24"/>
              </w:rPr>
              <w:t>Category</w:t>
            </w:r>
          </w:p>
        </w:tc>
        <w:tc>
          <w:tcPr>
            <w:tcW w:w="3145" w:type="dxa"/>
            <w:shd w:val="clear" w:color="auto" w:fill="D5DCE4"/>
          </w:tcPr>
          <w:p w:rsidR="0077447C" w:rsidRDefault="00187BBF">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A brief description of each </w:t>
            </w:r>
            <w:r>
              <w:rPr>
                <w:b/>
                <w:color w:val="000000"/>
                <w:sz w:val="24"/>
                <w:szCs w:val="24"/>
              </w:rPr>
              <w:t>proposed change</w:t>
            </w:r>
          </w:p>
        </w:tc>
        <w:tc>
          <w:tcPr>
            <w:tcW w:w="2696" w:type="dxa"/>
            <w:shd w:val="clear" w:color="auto" w:fill="D5DCE4"/>
          </w:tcPr>
          <w:p w:rsidR="0077447C" w:rsidRDefault="00187BBF">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A brief rationale and evidence that support the </w:t>
            </w:r>
            <w:r>
              <w:rPr>
                <w:b/>
                <w:color w:val="000000"/>
                <w:sz w:val="24"/>
                <w:szCs w:val="24"/>
              </w:rPr>
              <w:t>proposed change</w:t>
            </w:r>
            <w:r>
              <w:rPr>
                <w:color w:val="000000"/>
                <w:sz w:val="24"/>
                <w:szCs w:val="24"/>
              </w:rPr>
              <w:t xml:space="preserve"> </w:t>
            </w:r>
          </w:p>
        </w:tc>
        <w:tc>
          <w:tcPr>
            <w:tcW w:w="2696" w:type="dxa"/>
            <w:shd w:val="clear" w:color="auto" w:fill="D5DCE4"/>
          </w:tcPr>
          <w:p w:rsidR="0077447C" w:rsidRDefault="00187BBF">
            <w:pPr>
              <w:widowControl w:val="0"/>
              <w:pBdr>
                <w:top w:val="nil"/>
                <w:left w:val="nil"/>
                <w:bottom w:val="nil"/>
                <w:right w:val="nil"/>
                <w:between w:val="nil"/>
              </w:pBdr>
              <w:spacing w:after="0" w:line="240" w:lineRule="auto"/>
              <w:ind w:left="0" w:hanging="2"/>
              <w:rPr>
                <w:rFonts w:ascii="Arial" w:eastAsia="Arial" w:hAnsi="Arial" w:cs="Arial"/>
                <w:color w:val="1A1A1A"/>
                <w:sz w:val="24"/>
                <w:szCs w:val="24"/>
              </w:rPr>
            </w:pPr>
            <w:r>
              <w:rPr>
                <w:color w:val="1A1A1A"/>
                <w:sz w:val="24"/>
                <w:szCs w:val="24"/>
              </w:rPr>
              <w:t>S</w:t>
            </w:r>
            <w:r>
              <w:rPr>
                <w:color w:val="1A1A1A"/>
                <w:sz w:val="24"/>
                <w:szCs w:val="24"/>
              </w:rPr>
              <w:t>even</w:t>
            </w:r>
            <w:r>
              <w:rPr>
                <w:color w:val="1A1A1A"/>
                <w:sz w:val="24"/>
                <w:szCs w:val="24"/>
              </w:rPr>
              <w:t xml:space="preserve">-year timeline for the </w:t>
            </w:r>
            <w:r>
              <w:rPr>
                <w:b/>
                <w:color w:val="1A1A1A"/>
                <w:sz w:val="24"/>
                <w:szCs w:val="24"/>
              </w:rPr>
              <w:t>proposed changes</w:t>
            </w:r>
            <w:r>
              <w:rPr>
                <w:color w:val="1A1A1A"/>
                <w:sz w:val="24"/>
                <w:szCs w:val="24"/>
              </w:rPr>
              <w:t xml:space="preserve"> and actions</w:t>
            </w:r>
          </w:p>
          <w:p w:rsidR="0077447C" w:rsidRDefault="0077447C">
            <w:pPr>
              <w:pBdr>
                <w:top w:val="nil"/>
                <w:left w:val="nil"/>
                <w:bottom w:val="nil"/>
                <w:right w:val="nil"/>
                <w:between w:val="nil"/>
              </w:pBdr>
              <w:spacing w:after="0" w:line="240" w:lineRule="auto"/>
              <w:ind w:left="0" w:hanging="2"/>
              <w:rPr>
                <w:color w:val="000000"/>
                <w:sz w:val="24"/>
                <w:szCs w:val="24"/>
              </w:rPr>
            </w:pPr>
          </w:p>
        </w:tc>
        <w:tc>
          <w:tcPr>
            <w:tcW w:w="2354" w:type="dxa"/>
            <w:shd w:val="clear" w:color="auto" w:fill="D5DCE4"/>
          </w:tcPr>
          <w:p w:rsidR="0077447C" w:rsidRDefault="00187BBF">
            <w:pPr>
              <w:widowControl w:val="0"/>
              <w:pBdr>
                <w:top w:val="nil"/>
                <w:left w:val="nil"/>
                <w:bottom w:val="nil"/>
                <w:right w:val="nil"/>
                <w:between w:val="nil"/>
              </w:pBdr>
              <w:spacing w:after="0" w:line="240" w:lineRule="auto"/>
              <w:ind w:left="0" w:hanging="2"/>
              <w:rPr>
                <w:color w:val="1A1A1A"/>
                <w:sz w:val="24"/>
                <w:szCs w:val="24"/>
              </w:rPr>
            </w:pPr>
            <w:r>
              <w:rPr>
                <w:color w:val="1A1A1A"/>
                <w:sz w:val="24"/>
                <w:szCs w:val="24"/>
              </w:rPr>
              <w:t>Who is in charge if known</w:t>
            </w:r>
          </w:p>
        </w:tc>
      </w:tr>
      <w:tr w:rsidR="0077447C">
        <w:trPr>
          <w:trHeight w:val="566"/>
        </w:trPr>
        <w:tc>
          <w:tcPr>
            <w:tcW w:w="13176" w:type="dxa"/>
            <w:gridSpan w:val="6"/>
            <w:shd w:val="clear" w:color="auto" w:fill="FFFFFF"/>
          </w:tcPr>
          <w:p w:rsidR="0077447C" w:rsidRDefault="00187BBF">
            <w:pPr>
              <w:spacing w:after="0" w:line="240" w:lineRule="auto"/>
              <w:ind w:left="0" w:hanging="2"/>
              <w:rPr>
                <w:sz w:val="24"/>
                <w:szCs w:val="24"/>
              </w:rPr>
            </w:pPr>
            <w:r>
              <w:rPr>
                <w:sz w:val="24"/>
                <w:szCs w:val="24"/>
              </w:rPr>
              <w:t xml:space="preserve">When completing this form, please take into consideration the degree to which your department contributes to key areas and address them fully. If an area is not relevant to your department, please note accordingly. Otherwise all categories below should be </w:t>
            </w:r>
            <w:r>
              <w:rPr>
                <w:sz w:val="24"/>
                <w:szCs w:val="24"/>
              </w:rPr>
              <w:t xml:space="preserve">addressed. </w:t>
            </w:r>
          </w:p>
        </w:tc>
      </w:tr>
      <w:tr w:rsidR="0077447C">
        <w:trPr>
          <w:trHeight w:val="566"/>
        </w:trPr>
        <w:tc>
          <w:tcPr>
            <w:tcW w:w="436" w:type="dxa"/>
            <w:shd w:val="clear" w:color="auto" w:fill="FFFFFF"/>
          </w:tcPr>
          <w:p w:rsidR="0077447C" w:rsidRDefault="00187BBF">
            <w:pPr>
              <w:spacing w:after="0" w:line="240" w:lineRule="auto"/>
              <w:ind w:left="0" w:hanging="2"/>
              <w:rPr>
                <w:sz w:val="24"/>
                <w:szCs w:val="24"/>
              </w:rPr>
            </w:pPr>
            <w:r>
              <w:rPr>
                <w:b/>
                <w:sz w:val="24"/>
                <w:szCs w:val="24"/>
              </w:rPr>
              <w:t>1</w:t>
            </w:r>
          </w:p>
        </w:tc>
        <w:tc>
          <w:tcPr>
            <w:tcW w:w="1849" w:type="dxa"/>
            <w:shd w:val="clear" w:color="auto" w:fill="auto"/>
          </w:tcPr>
          <w:p w:rsidR="0077447C" w:rsidRDefault="00187BBF">
            <w:pPr>
              <w:spacing w:after="0" w:line="240" w:lineRule="auto"/>
              <w:ind w:left="0" w:hanging="2"/>
              <w:rPr>
                <w:sz w:val="24"/>
                <w:szCs w:val="24"/>
              </w:rPr>
            </w:pPr>
            <w:r>
              <w:rPr>
                <w:sz w:val="24"/>
                <w:szCs w:val="24"/>
              </w:rPr>
              <w:t>Major and/or m</w:t>
            </w:r>
            <w:r>
              <w:rPr>
                <w:sz w:val="24"/>
                <w:szCs w:val="24"/>
              </w:rPr>
              <w:t>inor program(s)</w:t>
            </w:r>
          </w:p>
          <w:p w:rsidR="0077447C" w:rsidRDefault="0077447C">
            <w:pPr>
              <w:spacing w:after="0" w:line="240" w:lineRule="auto"/>
              <w:ind w:left="0" w:hanging="2"/>
              <w:rPr>
                <w:sz w:val="24"/>
                <w:szCs w:val="24"/>
              </w:rPr>
            </w:pPr>
          </w:p>
        </w:tc>
        <w:tc>
          <w:tcPr>
            <w:tcW w:w="3145" w:type="dxa"/>
            <w:shd w:val="clear" w:color="auto" w:fill="auto"/>
          </w:tcPr>
          <w:p w:rsidR="0077447C" w:rsidRDefault="0077447C">
            <w:pPr>
              <w:spacing w:after="0" w:line="240" w:lineRule="auto"/>
              <w:ind w:left="0" w:hanging="2"/>
              <w:rPr>
                <w:sz w:val="24"/>
                <w:szCs w:val="24"/>
              </w:rPr>
            </w:pPr>
          </w:p>
        </w:tc>
        <w:tc>
          <w:tcPr>
            <w:tcW w:w="2696" w:type="dxa"/>
            <w:shd w:val="clear" w:color="auto" w:fill="FFFFFF"/>
          </w:tcPr>
          <w:p w:rsidR="0077447C" w:rsidRDefault="0077447C">
            <w:pPr>
              <w:spacing w:after="0" w:line="240" w:lineRule="auto"/>
              <w:ind w:left="0" w:hanging="2"/>
            </w:pPr>
          </w:p>
        </w:tc>
        <w:tc>
          <w:tcPr>
            <w:tcW w:w="2696" w:type="dxa"/>
          </w:tcPr>
          <w:p w:rsidR="0077447C" w:rsidRDefault="0077447C">
            <w:pPr>
              <w:spacing w:after="0" w:line="240" w:lineRule="auto"/>
              <w:ind w:left="0" w:hanging="2"/>
            </w:pPr>
          </w:p>
        </w:tc>
        <w:tc>
          <w:tcPr>
            <w:tcW w:w="2354" w:type="dxa"/>
          </w:tcPr>
          <w:p w:rsidR="0077447C" w:rsidRDefault="0077447C">
            <w:pPr>
              <w:spacing w:after="0" w:line="240" w:lineRule="auto"/>
              <w:ind w:left="0" w:hanging="2"/>
            </w:pPr>
          </w:p>
        </w:tc>
      </w:tr>
      <w:tr w:rsidR="0077447C">
        <w:trPr>
          <w:trHeight w:val="566"/>
        </w:trPr>
        <w:tc>
          <w:tcPr>
            <w:tcW w:w="436" w:type="dxa"/>
            <w:shd w:val="clear" w:color="auto" w:fill="FFFFFF"/>
          </w:tcPr>
          <w:p w:rsidR="0077447C" w:rsidRDefault="00187BBF">
            <w:pPr>
              <w:spacing w:after="0" w:line="240" w:lineRule="auto"/>
              <w:ind w:left="0" w:hanging="2"/>
              <w:rPr>
                <w:sz w:val="24"/>
                <w:szCs w:val="24"/>
              </w:rPr>
            </w:pPr>
            <w:r>
              <w:rPr>
                <w:b/>
                <w:sz w:val="24"/>
                <w:szCs w:val="24"/>
              </w:rPr>
              <w:t>2</w:t>
            </w:r>
          </w:p>
        </w:tc>
        <w:tc>
          <w:tcPr>
            <w:tcW w:w="1849" w:type="dxa"/>
            <w:shd w:val="clear" w:color="auto" w:fill="auto"/>
          </w:tcPr>
          <w:p w:rsidR="0077447C" w:rsidRDefault="00187BBF">
            <w:pPr>
              <w:spacing w:after="0" w:line="240" w:lineRule="auto"/>
              <w:ind w:left="0" w:hanging="2"/>
              <w:rPr>
                <w:sz w:val="24"/>
                <w:szCs w:val="24"/>
              </w:rPr>
            </w:pPr>
            <w:r>
              <w:rPr>
                <w:sz w:val="24"/>
                <w:szCs w:val="24"/>
              </w:rPr>
              <w:t>GE program</w:t>
            </w:r>
          </w:p>
        </w:tc>
        <w:tc>
          <w:tcPr>
            <w:tcW w:w="3145" w:type="dxa"/>
            <w:shd w:val="clear" w:color="auto" w:fill="auto"/>
          </w:tcPr>
          <w:p w:rsidR="0077447C" w:rsidRDefault="0077447C">
            <w:pPr>
              <w:spacing w:after="0" w:line="240" w:lineRule="auto"/>
              <w:ind w:left="0" w:hanging="2"/>
              <w:rPr>
                <w:sz w:val="24"/>
                <w:szCs w:val="24"/>
              </w:rPr>
            </w:pPr>
          </w:p>
        </w:tc>
        <w:tc>
          <w:tcPr>
            <w:tcW w:w="2696" w:type="dxa"/>
            <w:shd w:val="clear" w:color="auto" w:fill="FFFFFF"/>
          </w:tcPr>
          <w:p w:rsidR="0077447C" w:rsidRDefault="0077447C">
            <w:pPr>
              <w:spacing w:after="0" w:line="240" w:lineRule="auto"/>
              <w:ind w:left="0" w:hanging="2"/>
            </w:pPr>
          </w:p>
        </w:tc>
        <w:tc>
          <w:tcPr>
            <w:tcW w:w="2696" w:type="dxa"/>
          </w:tcPr>
          <w:p w:rsidR="0077447C" w:rsidRDefault="0077447C">
            <w:pPr>
              <w:spacing w:after="0" w:line="240" w:lineRule="auto"/>
              <w:ind w:left="0" w:hanging="2"/>
            </w:pPr>
          </w:p>
        </w:tc>
        <w:tc>
          <w:tcPr>
            <w:tcW w:w="2354" w:type="dxa"/>
          </w:tcPr>
          <w:p w:rsidR="0077447C" w:rsidRDefault="0077447C">
            <w:pPr>
              <w:spacing w:after="0" w:line="240" w:lineRule="auto"/>
              <w:ind w:left="0" w:hanging="2"/>
            </w:pPr>
          </w:p>
        </w:tc>
      </w:tr>
      <w:tr w:rsidR="0077447C">
        <w:trPr>
          <w:trHeight w:val="530"/>
        </w:trPr>
        <w:tc>
          <w:tcPr>
            <w:tcW w:w="436" w:type="dxa"/>
            <w:shd w:val="clear" w:color="auto" w:fill="FFFFFF"/>
          </w:tcPr>
          <w:p w:rsidR="0077447C" w:rsidRDefault="00187BBF">
            <w:pPr>
              <w:spacing w:after="0" w:line="240" w:lineRule="auto"/>
              <w:ind w:left="0" w:hanging="2"/>
              <w:rPr>
                <w:sz w:val="24"/>
                <w:szCs w:val="24"/>
              </w:rPr>
            </w:pPr>
            <w:r>
              <w:rPr>
                <w:b/>
                <w:sz w:val="24"/>
                <w:szCs w:val="24"/>
              </w:rPr>
              <w:t>3</w:t>
            </w:r>
          </w:p>
        </w:tc>
        <w:tc>
          <w:tcPr>
            <w:tcW w:w="1849" w:type="dxa"/>
            <w:shd w:val="clear" w:color="auto" w:fill="auto"/>
          </w:tcPr>
          <w:p w:rsidR="0077447C" w:rsidRDefault="00187BBF">
            <w:pPr>
              <w:spacing w:after="0" w:line="240" w:lineRule="auto"/>
              <w:ind w:left="0" w:hanging="2"/>
              <w:rPr>
                <w:sz w:val="24"/>
                <w:szCs w:val="24"/>
              </w:rPr>
            </w:pPr>
            <w:r>
              <w:rPr>
                <w:sz w:val="24"/>
                <w:szCs w:val="24"/>
              </w:rPr>
              <w:t>Initiatives to improve teaching and learning</w:t>
            </w:r>
          </w:p>
          <w:p w:rsidR="0077447C" w:rsidRDefault="0077447C">
            <w:pPr>
              <w:spacing w:after="0" w:line="240" w:lineRule="auto"/>
              <w:ind w:left="0" w:hanging="2"/>
              <w:rPr>
                <w:sz w:val="24"/>
                <w:szCs w:val="24"/>
              </w:rPr>
            </w:pPr>
          </w:p>
        </w:tc>
        <w:tc>
          <w:tcPr>
            <w:tcW w:w="3145" w:type="dxa"/>
            <w:shd w:val="clear" w:color="auto" w:fill="auto"/>
          </w:tcPr>
          <w:p w:rsidR="0077447C" w:rsidRDefault="0077447C">
            <w:pPr>
              <w:spacing w:after="0" w:line="240" w:lineRule="auto"/>
              <w:ind w:left="0" w:hanging="2"/>
              <w:rPr>
                <w:sz w:val="24"/>
                <w:szCs w:val="24"/>
              </w:rPr>
            </w:pPr>
          </w:p>
        </w:tc>
        <w:tc>
          <w:tcPr>
            <w:tcW w:w="2696" w:type="dxa"/>
            <w:shd w:val="clear" w:color="auto" w:fill="FFFFFF"/>
          </w:tcPr>
          <w:p w:rsidR="0077447C" w:rsidRDefault="0077447C">
            <w:pPr>
              <w:spacing w:after="0" w:line="240" w:lineRule="auto"/>
              <w:ind w:left="0" w:hanging="2"/>
            </w:pPr>
          </w:p>
        </w:tc>
        <w:tc>
          <w:tcPr>
            <w:tcW w:w="2696" w:type="dxa"/>
          </w:tcPr>
          <w:p w:rsidR="0077447C" w:rsidRDefault="0077447C">
            <w:pPr>
              <w:spacing w:after="0" w:line="240" w:lineRule="auto"/>
              <w:ind w:left="0" w:hanging="2"/>
            </w:pPr>
          </w:p>
        </w:tc>
        <w:tc>
          <w:tcPr>
            <w:tcW w:w="2354" w:type="dxa"/>
          </w:tcPr>
          <w:p w:rsidR="0077447C" w:rsidRDefault="0077447C">
            <w:pPr>
              <w:spacing w:after="0" w:line="240" w:lineRule="auto"/>
              <w:ind w:left="0" w:hanging="2"/>
            </w:pPr>
          </w:p>
        </w:tc>
      </w:tr>
      <w:tr w:rsidR="0077447C">
        <w:trPr>
          <w:trHeight w:val="530"/>
        </w:trPr>
        <w:tc>
          <w:tcPr>
            <w:tcW w:w="436" w:type="dxa"/>
            <w:shd w:val="clear" w:color="auto" w:fill="FFFFFF"/>
          </w:tcPr>
          <w:p w:rsidR="0077447C" w:rsidRDefault="00187BBF">
            <w:pPr>
              <w:spacing w:after="0" w:line="240" w:lineRule="auto"/>
              <w:ind w:left="0" w:hanging="2"/>
              <w:rPr>
                <w:sz w:val="24"/>
                <w:szCs w:val="24"/>
              </w:rPr>
            </w:pPr>
            <w:r>
              <w:rPr>
                <w:b/>
                <w:sz w:val="24"/>
                <w:szCs w:val="24"/>
              </w:rPr>
              <w:t>4</w:t>
            </w:r>
          </w:p>
        </w:tc>
        <w:tc>
          <w:tcPr>
            <w:tcW w:w="1849" w:type="dxa"/>
            <w:shd w:val="clear" w:color="auto" w:fill="auto"/>
          </w:tcPr>
          <w:p w:rsidR="0077447C" w:rsidRDefault="00187BBF">
            <w:pPr>
              <w:spacing w:after="0" w:line="240" w:lineRule="auto"/>
              <w:ind w:left="0" w:hanging="2"/>
              <w:rPr>
                <w:sz w:val="24"/>
                <w:szCs w:val="24"/>
              </w:rPr>
            </w:pPr>
            <w:r>
              <w:rPr>
                <w:sz w:val="24"/>
                <w:szCs w:val="24"/>
              </w:rPr>
              <w:t xml:space="preserve">Possible adjustments in faculty priorities </w:t>
            </w:r>
            <w:r>
              <w:rPr>
                <w:sz w:val="24"/>
                <w:szCs w:val="24"/>
              </w:rPr>
              <w:lastRenderedPageBreak/>
              <w:t>or responsibilities</w:t>
            </w:r>
          </w:p>
          <w:p w:rsidR="0077447C" w:rsidRDefault="0077447C">
            <w:pPr>
              <w:spacing w:after="0" w:line="240" w:lineRule="auto"/>
              <w:ind w:left="0" w:hanging="2"/>
              <w:rPr>
                <w:sz w:val="24"/>
                <w:szCs w:val="24"/>
              </w:rPr>
            </w:pPr>
          </w:p>
        </w:tc>
        <w:tc>
          <w:tcPr>
            <w:tcW w:w="3145" w:type="dxa"/>
            <w:shd w:val="clear" w:color="auto" w:fill="auto"/>
          </w:tcPr>
          <w:p w:rsidR="0077447C" w:rsidRDefault="0077447C">
            <w:pPr>
              <w:spacing w:after="0" w:line="240" w:lineRule="auto"/>
              <w:ind w:left="0" w:hanging="2"/>
              <w:rPr>
                <w:sz w:val="24"/>
                <w:szCs w:val="24"/>
              </w:rPr>
            </w:pPr>
          </w:p>
        </w:tc>
        <w:tc>
          <w:tcPr>
            <w:tcW w:w="2696" w:type="dxa"/>
            <w:shd w:val="clear" w:color="auto" w:fill="FFFFFF"/>
          </w:tcPr>
          <w:p w:rsidR="0077447C" w:rsidRDefault="0077447C">
            <w:pPr>
              <w:spacing w:after="0" w:line="240" w:lineRule="auto"/>
              <w:ind w:left="0" w:hanging="2"/>
            </w:pPr>
          </w:p>
        </w:tc>
        <w:tc>
          <w:tcPr>
            <w:tcW w:w="2696" w:type="dxa"/>
          </w:tcPr>
          <w:p w:rsidR="0077447C" w:rsidRDefault="0077447C">
            <w:pPr>
              <w:spacing w:after="0" w:line="240" w:lineRule="auto"/>
              <w:ind w:left="0" w:hanging="2"/>
            </w:pPr>
          </w:p>
        </w:tc>
        <w:tc>
          <w:tcPr>
            <w:tcW w:w="2354" w:type="dxa"/>
          </w:tcPr>
          <w:p w:rsidR="0077447C" w:rsidRDefault="0077447C">
            <w:pPr>
              <w:spacing w:after="0" w:line="240" w:lineRule="auto"/>
              <w:ind w:left="0" w:hanging="2"/>
            </w:pPr>
          </w:p>
        </w:tc>
      </w:tr>
      <w:tr w:rsidR="0077447C">
        <w:trPr>
          <w:trHeight w:val="530"/>
        </w:trPr>
        <w:tc>
          <w:tcPr>
            <w:tcW w:w="436" w:type="dxa"/>
            <w:shd w:val="clear" w:color="auto" w:fill="FFFFFF"/>
          </w:tcPr>
          <w:p w:rsidR="0077447C" w:rsidRDefault="00187BBF">
            <w:pPr>
              <w:spacing w:after="0" w:line="240" w:lineRule="auto"/>
              <w:ind w:left="0" w:hanging="2"/>
              <w:rPr>
                <w:sz w:val="24"/>
                <w:szCs w:val="24"/>
              </w:rPr>
            </w:pPr>
            <w:r>
              <w:rPr>
                <w:b/>
                <w:sz w:val="24"/>
                <w:szCs w:val="24"/>
              </w:rPr>
              <w:t>5</w:t>
            </w:r>
          </w:p>
        </w:tc>
        <w:tc>
          <w:tcPr>
            <w:tcW w:w="1849" w:type="dxa"/>
            <w:shd w:val="clear" w:color="auto" w:fill="auto"/>
          </w:tcPr>
          <w:p w:rsidR="0077447C" w:rsidRDefault="00187BBF">
            <w:pPr>
              <w:spacing w:after="0" w:line="240" w:lineRule="auto"/>
              <w:ind w:left="0" w:hanging="2"/>
              <w:rPr>
                <w:sz w:val="24"/>
                <w:szCs w:val="24"/>
              </w:rPr>
            </w:pPr>
            <w:r>
              <w:rPr>
                <w:sz w:val="24"/>
                <w:szCs w:val="24"/>
              </w:rPr>
              <w:t>PLOs and key-questions that the department will assess in the subsequent years</w:t>
            </w:r>
          </w:p>
          <w:p w:rsidR="0077447C" w:rsidRDefault="0077447C">
            <w:pPr>
              <w:spacing w:after="0" w:line="240" w:lineRule="auto"/>
              <w:ind w:left="0" w:hanging="2"/>
              <w:rPr>
                <w:sz w:val="24"/>
                <w:szCs w:val="24"/>
              </w:rPr>
            </w:pPr>
          </w:p>
        </w:tc>
        <w:tc>
          <w:tcPr>
            <w:tcW w:w="3145" w:type="dxa"/>
            <w:shd w:val="clear" w:color="auto" w:fill="auto"/>
          </w:tcPr>
          <w:p w:rsidR="0077447C" w:rsidRDefault="0077447C">
            <w:pPr>
              <w:spacing w:after="0" w:line="240" w:lineRule="auto"/>
              <w:ind w:left="0" w:hanging="2"/>
              <w:rPr>
                <w:sz w:val="24"/>
                <w:szCs w:val="24"/>
              </w:rPr>
            </w:pPr>
          </w:p>
        </w:tc>
        <w:tc>
          <w:tcPr>
            <w:tcW w:w="2696" w:type="dxa"/>
            <w:shd w:val="clear" w:color="auto" w:fill="FFFFFF"/>
          </w:tcPr>
          <w:p w:rsidR="0077447C" w:rsidRDefault="0077447C">
            <w:pPr>
              <w:spacing w:after="0" w:line="240" w:lineRule="auto"/>
              <w:ind w:left="0" w:hanging="2"/>
            </w:pPr>
          </w:p>
        </w:tc>
        <w:tc>
          <w:tcPr>
            <w:tcW w:w="2696" w:type="dxa"/>
          </w:tcPr>
          <w:p w:rsidR="0077447C" w:rsidRDefault="0077447C">
            <w:pPr>
              <w:spacing w:after="0" w:line="240" w:lineRule="auto"/>
              <w:ind w:left="0" w:hanging="2"/>
            </w:pPr>
          </w:p>
        </w:tc>
        <w:tc>
          <w:tcPr>
            <w:tcW w:w="2354" w:type="dxa"/>
          </w:tcPr>
          <w:p w:rsidR="0077447C" w:rsidRDefault="0077447C">
            <w:pPr>
              <w:spacing w:after="0" w:line="240" w:lineRule="auto"/>
              <w:ind w:left="0" w:hanging="2"/>
            </w:pPr>
          </w:p>
        </w:tc>
      </w:tr>
      <w:tr w:rsidR="0077447C">
        <w:trPr>
          <w:trHeight w:val="530"/>
        </w:trPr>
        <w:tc>
          <w:tcPr>
            <w:tcW w:w="436" w:type="dxa"/>
            <w:shd w:val="clear" w:color="auto" w:fill="FFFFFF"/>
          </w:tcPr>
          <w:p w:rsidR="0077447C" w:rsidRDefault="00187BBF">
            <w:pPr>
              <w:spacing w:after="0" w:line="240" w:lineRule="auto"/>
              <w:ind w:left="0" w:hanging="2"/>
              <w:rPr>
                <w:sz w:val="24"/>
                <w:szCs w:val="24"/>
              </w:rPr>
            </w:pPr>
            <w:r>
              <w:rPr>
                <w:b/>
                <w:sz w:val="24"/>
                <w:szCs w:val="24"/>
              </w:rPr>
              <w:t>6</w:t>
            </w:r>
          </w:p>
        </w:tc>
        <w:tc>
          <w:tcPr>
            <w:tcW w:w="1849" w:type="dxa"/>
            <w:shd w:val="clear" w:color="auto" w:fill="auto"/>
          </w:tcPr>
          <w:p w:rsidR="0077447C" w:rsidRDefault="00187BBF">
            <w:pPr>
              <w:spacing w:after="0" w:line="240" w:lineRule="auto"/>
              <w:ind w:left="0" w:hanging="2"/>
              <w:rPr>
                <w:sz w:val="24"/>
                <w:szCs w:val="24"/>
              </w:rPr>
            </w:pPr>
            <w:r>
              <w:rPr>
                <w:sz w:val="24"/>
                <w:szCs w:val="24"/>
              </w:rPr>
              <w:t xml:space="preserve">Participation in ILO assessments in the subsequent years: </w:t>
            </w:r>
          </w:p>
          <w:p w:rsidR="0077447C" w:rsidRDefault="00187BBF">
            <w:pPr>
              <w:spacing w:after="0" w:line="240" w:lineRule="auto"/>
              <w:ind w:left="0" w:hanging="2"/>
              <w:rPr>
                <w:sz w:val="24"/>
                <w:szCs w:val="24"/>
              </w:rPr>
            </w:pPr>
            <w:r>
              <w:rPr>
                <w:sz w:val="24"/>
                <w:szCs w:val="24"/>
              </w:rPr>
              <w:t>1. CUPA (2026-27)</w:t>
            </w:r>
          </w:p>
          <w:p w:rsidR="0077447C" w:rsidRDefault="00187BBF">
            <w:pPr>
              <w:spacing w:after="0" w:line="240" w:lineRule="auto"/>
              <w:ind w:left="0" w:hanging="2"/>
              <w:rPr>
                <w:sz w:val="24"/>
                <w:szCs w:val="24"/>
              </w:rPr>
            </w:pPr>
            <w:r>
              <w:rPr>
                <w:sz w:val="24"/>
                <w:szCs w:val="24"/>
              </w:rPr>
              <w:t>2. Global Awareness (2030-31)</w:t>
            </w:r>
          </w:p>
          <w:p w:rsidR="0077447C" w:rsidRDefault="00187BBF">
            <w:pPr>
              <w:spacing w:after="0" w:line="240" w:lineRule="auto"/>
              <w:ind w:left="0" w:hanging="2"/>
              <w:rPr>
                <w:sz w:val="24"/>
                <w:szCs w:val="24"/>
              </w:rPr>
            </w:pPr>
            <w:r>
              <w:rPr>
                <w:sz w:val="24"/>
                <w:szCs w:val="24"/>
              </w:rPr>
              <w:t>3. Diversity (2027-28)</w:t>
            </w:r>
          </w:p>
          <w:p w:rsidR="0077447C" w:rsidRDefault="00187BBF">
            <w:pPr>
              <w:spacing w:after="0" w:line="240" w:lineRule="auto"/>
              <w:ind w:left="0" w:hanging="2"/>
              <w:rPr>
                <w:sz w:val="24"/>
                <w:szCs w:val="24"/>
              </w:rPr>
            </w:pPr>
            <w:r>
              <w:rPr>
                <w:sz w:val="24"/>
                <w:szCs w:val="24"/>
              </w:rPr>
              <w:t xml:space="preserve">4. Critical Thinking (2031-32) </w:t>
            </w:r>
          </w:p>
          <w:p w:rsidR="0077447C" w:rsidRDefault="00187BBF">
            <w:pPr>
              <w:spacing w:after="0" w:line="240" w:lineRule="auto"/>
              <w:ind w:left="0" w:hanging="2"/>
              <w:rPr>
                <w:sz w:val="24"/>
                <w:szCs w:val="24"/>
              </w:rPr>
            </w:pPr>
            <w:r>
              <w:rPr>
                <w:sz w:val="24"/>
                <w:szCs w:val="24"/>
              </w:rPr>
              <w:t>5. Quantitative Literacy (2029-2030)</w:t>
            </w:r>
          </w:p>
          <w:p w:rsidR="0077447C" w:rsidRDefault="00187BBF">
            <w:pPr>
              <w:spacing w:after="0" w:line="240" w:lineRule="auto"/>
              <w:ind w:left="0" w:hanging="2"/>
              <w:rPr>
                <w:sz w:val="24"/>
                <w:szCs w:val="24"/>
              </w:rPr>
            </w:pPr>
            <w:r>
              <w:rPr>
                <w:sz w:val="24"/>
                <w:szCs w:val="24"/>
              </w:rPr>
              <w:lastRenderedPageBreak/>
              <w:t>6. Written Communication (2026-2027)</w:t>
            </w:r>
          </w:p>
          <w:p w:rsidR="0077447C" w:rsidRDefault="00187BBF">
            <w:pPr>
              <w:spacing w:after="0" w:line="240" w:lineRule="auto"/>
              <w:ind w:left="0" w:hanging="2"/>
              <w:rPr>
                <w:sz w:val="24"/>
                <w:szCs w:val="24"/>
              </w:rPr>
            </w:pPr>
            <w:r>
              <w:rPr>
                <w:sz w:val="24"/>
                <w:szCs w:val="24"/>
              </w:rPr>
              <w:t>7. Oral Communication (2025-26)</w:t>
            </w:r>
          </w:p>
          <w:p w:rsidR="0077447C" w:rsidRDefault="00187BBF">
            <w:pPr>
              <w:spacing w:after="0" w:line="240" w:lineRule="auto"/>
              <w:ind w:left="0" w:hanging="2"/>
              <w:rPr>
                <w:sz w:val="24"/>
                <w:szCs w:val="24"/>
              </w:rPr>
            </w:pPr>
            <w:r>
              <w:rPr>
                <w:sz w:val="24"/>
                <w:szCs w:val="24"/>
              </w:rPr>
              <w:t>8. Information Literacy (2028-29)</w:t>
            </w:r>
          </w:p>
          <w:p w:rsidR="0077447C" w:rsidRDefault="0077447C">
            <w:pPr>
              <w:spacing w:after="0" w:line="240" w:lineRule="auto"/>
              <w:ind w:left="0" w:hanging="2"/>
              <w:rPr>
                <w:sz w:val="24"/>
                <w:szCs w:val="24"/>
              </w:rPr>
            </w:pPr>
          </w:p>
        </w:tc>
        <w:tc>
          <w:tcPr>
            <w:tcW w:w="3145" w:type="dxa"/>
            <w:shd w:val="clear" w:color="auto" w:fill="auto"/>
          </w:tcPr>
          <w:p w:rsidR="0077447C" w:rsidRDefault="0077447C">
            <w:pPr>
              <w:spacing w:after="0" w:line="240" w:lineRule="auto"/>
              <w:ind w:left="0" w:hanging="2"/>
              <w:rPr>
                <w:sz w:val="24"/>
                <w:szCs w:val="24"/>
              </w:rPr>
            </w:pPr>
          </w:p>
        </w:tc>
        <w:tc>
          <w:tcPr>
            <w:tcW w:w="2696" w:type="dxa"/>
            <w:shd w:val="clear" w:color="auto" w:fill="FFFFFF"/>
          </w:tcPr>
          <w:p w:rsidR="0077447C" w:rsidRDefault="0077447C">
            <w:pPr>
              <w:spacing w:after="0" w:line="240" w:lineRule="auto"/>
              <w:ind w:left="0" w:hanging="2"/>
            </w:pPr>
          </w:p>
        </w:tc>
        <w:tc>
          <w:tcPr>
            <w:tcW w:w="2696" w:type="dxa"/>
          </w:tcPr>
          <w:p w:rsidR="0077447C" w:rsidRDefault="0077447C">
            <w:pPr>
              <w:spacing w:after="0" w:line="240" w:lineRule="auto"/>
              <w:ind w:left="0" w:hanging="2"/>
            </w:pPr>
          </w:p>
        </w:tc>
        <w:tc>
          <w:tcPr>
            <w:tcW w:w="2354" w:type="dxa"/>
          </w:tcPr>
          <w:p w:rsidR="0077447C" w:rsidRDefault="0077447C">
            <w:pPr>
              <w:spacing w:after="0" w:line="240" w:lineRule="auto"/>
              <w:ind w:left="0" w:hanging="2"/>
            </w:pPr>
          </w:p>
        </w:tc>
      </w:tr>
      <w:tr w:rsidR="0077447C">
        <w:trPr>
          <w:trHeight w:val="530"/>
        </w:trPr>
        <w:tc>
          <w:tcPr>
            <w:tcW w:w="436" w:type="dxa"/>
            <w:shd w:val="clear" w:color="auto" w:fill="FFFFFF"/>
          </w:tcPr>
          <w:p w:rsidR="0077447C" w:rsidRDefault="00187BBF">
            <w:pPr>
              <w:spacing w:after="0" w:line="240" w:lineRule="auto"/>
              <w:ind w:left="0" w:hanging="2"/>
              <w:rPr>
                <w:sz w:val="24"/>
                <w:szCs w:val="24"/>
              </w:rPr>
            </w:pPr>
            <w:r>
              <w:rPr>
                <w:b/>
                <w:sz w:val="24"/>
                <w:szCs w:val="24"/>
              </w:rPr>
              <w:t>7</w:t>
            </w:r>
          </w:p>
        </w:tc>
        <w:tc>
          <w:tcPr>
            <w:tcW w:w="1849" w:type="dxa"/>
            <w:shd w:val="clear" w:color="auto" w:fill="auto"/>
          </w:tcPr>
          <w:p w:rsidR="0077447C" w:rsidRDefault="00187BBF">
            <w:pPr>
              <w:widowControl w:val="0"/>
              <w:pBdr>
                <w:top w:val="nil"/>
                <w:left w:val="nil"/>
                <w:bottom w:val="nil"/>
                <w:right w:val="nil"/>
                <w:between w:val="nil"/>
              </w:pBdr>
              <w:spacing w:after="0" w:line="240" w:lineRule="auto"/>
              <w:ind w:left="0" w:hanging="2"/>
              <w:rPr>
                <w:color w:val="1A1A1A"/>
                <w:sz w:val="24"/>
                <w:szCs w:val="24"/>
              </w:rPr>
            </w:pPr>
            <w:r>
              <w:rPr>
                <w:color w:val="1A1A1A"/>
                <w:sz w:val="24"/>
                <w:szCs w:val="24"/>
              </w:rPr>
              <w:t>Reallocation or acquisition of resources that would be necessary or helpful in the pursuit of these goals</w:t>
            </w:r>
          </w:p>
          <w:p w:rsidR="0077447C" w:rsidRDefault="0077447C">
            <w:pPr>
              <w:widowControl w:val="0"/>
              <w:pBdr>
                <w:top w:val="nil"/>
                <w:left w:val="nil"/>
                <w:bottom w:val="nil"/>
                <w:right w:val="nil"/>
                <w:between w:val="nil"/>
              </w:pBdr>
              <w:spacing w:after="0" w:line="240" w:lineRule="auto"/>
              <w:ind w:left="0" w:hanging="2"/>
              <w:rPr>
                <w:color w:val="1A1A1A"/>
                <w:sz w:val="24"/>
                <w:szCs w:val="24"/>
              </w:rPr>
            </w:pPr>
          </w:p>
        </w:tc>
        <w:tc>
          <w:tcPr>
            <w:tcW w:w="3145" w:type="dxa"/>
            <w:shd w:val="clear" w:color="auto" w:fill="auto"/>
          </w:tcPr>
          <w:p w:rsidR="0077447C" w:rsidRDefault="0077447C">
            <w:pPr>
              <w:widowControl w:val="0"/>
              <w:pBdr>
                <w:top w:val="nil"/>
                <w:left w:val="nil"/>
                <w:bottom w:val="nil"/>
                <w:right w:val="nil"/>
                <w:between w:val="nil"/>
              </w:pBdr>
              <w:spacing w:after="0" w:line="240" w:lineRule="auto"/>
              <w:ind w:left="0" w:hanging="2"/>
              <w:rPr>
                <w:rFonts w:ascii="Cambria" w:eastAsia="Cambria" w:hAnsi="Cambria" w:cs="Cambria"/>
                <w:color w:val="000000"/>
                <w:sz w:val="24"/>
                <w:szCs w:val="24"/>
              </w:rPr>
            </w:pPr>
          </w:p>
        </w:tc>
        <w:tc>
          <w:tcPr>
            <w:tcW w:w="2696" w:type="dxa"/>
            <w:shd w:val="clear" w:color="auto" w:fill="FFFFFF"/>
          </w:tcPr>
          <w:p w:rsidR="0077447C" w:rsidRDefault="0077447C">
            <w:pPr>
              <w:spacing w:after="0" w:line="240" w:lineRule="auto"/>
              <w:ind w:left="0" w:hanging="2"/>
            </w:pPr>
          </w:p>
        </w:tc>
        <w:tc>
          <w:tcPr>
            <w:tcW w:w="2696" w:type="dxa"/>
          </w:tcPr>
          <w:p w:rsidR="0077447C" w:rsidRDefault="0077447C">
            <w:pPr>
              <w:spacing w:after="0" w:line="240" w:lineRule="auto"/>
              <w:ind w:left="0" w:hanging="2"/>
            </w:pPr>
          </w:p>
        </w:tc>
        <w:tc>
          <w:tcPr>
            <w:tcW w:w="2354" w:type="dxa"/>
          </w:tcPr>
          <w:p w:rsidR="0077447C" w:rsidRDefault="0077447C">
            <w:pPr>
              <w:spacing w:after="0" w:line="240" w:lineRule="auto"/>
              <w:ind w:left="0" w:hanging="2"/>
            </w:pPr>
          </w:p>
        </w:tc>
      </w:tr>
      <w:tr w:rsidR="0077447C">
        <w:trPr>
          <w:trHeight w:val="530"/>
        </w:trPr>
        <w:tc>
          <w:tcPr>
            <w:tcW w:w="436" w:type="dxa"/>
            <w:shd w:val="clear" w:color="auto" w:fill="FFFFFF"/>
          </w:tcPr>
          <w:p w:rsidR="0077447C" w:rsidRDefault="00187BBF">
            <w:pPr>
              <w:spacing w:after="0" w:line="240" w:lineRule="auto"/>
              <w:ind w:left="0" w:hanging="2"/>
              <w:rPr>
                <w:sz w:val="24"/>
                <w:szCs w:val="24"/>
              </w:rPr>
            </w:pPr>
            <w:r>
              <w:rPr>
                <w:b/>
                <w:sz w:val="24"/>
                <w:szCs w:val="24"/>
              </w:rPr>
              <w:t>8</w:t>
            </w:r>
          </w:p>
        </w:tc>
        <w:tc>
          <w:tcPr>
            <w:tcW w:w="1849" w:type="dxa"/>
            <w:shd w:val="clear" w:color="auto" w:fill="auto"/>
          </w:tcPr>
          <w:p w:rsidR="0077447C" w:rsidRDefault="00187BBF">
            <w:pPr>
              <w:widowControl w:val="0"/>
              <w:pBdr>
                <w:top w:val="nil"/>
                <w:left w:val="nil"/>
                <w:bottom w:val="nil"/>
                <w:right w:val="nil"/>
                <w:between w:val="nil"/>
              </w:pBdr>
              <w:spacing w:after="0" w:line="240" w:lineRule="auto"/>
              <w:ind w:left="0" w:hanging="2"/>
              <w:rPr>
                <w:color w:val="000000"/>
                <w:sz w:val="24"/>
                <w:szCs w:val="24"/>
              </w:rPr>
            </w:pPr>
            <w:r>
              <w:rPr>
                <w:color w:val="000000"/>
                <w:sz w:val="24"/>
                <w:szCs w:val="24"/>
              </w:rPr>
              <w:t>Other important changes</w:t>
            </w:r>
          </w:p>
          <w:p w:rsidR="0077447C" w:rsidRDefault="0077447C">
            <w:pPr>
              <w:widowControl w:val="0"/>
              <w:pBdr>
                <w:top w:val="nil"/>
                <w:left w:val="nil"/>
                <w:bottom w:val="nil"/>
                <w:right w:val="nil"/>
                <w:between w:val="nil"/>
              </w:pBdr>
              <w:spacing w:after="0" w:line="240" w:lineRule="auto"/>
              <w:ind w:left="0" w:hanging="2"/>
              <w:rPr>
                <w:sz w:val="24"/>
                <w:szCs w:val="24"/>
              </w:rPr>
            </w:pPr>
          </w:p>
        </w:tc>
        <w:tc>
          <w:tcPr>
            <w:tcW w:w="3145" w:type="dxa"/>
            <w:shd w:val="clear" w:color="auto" w:fill="auto"/>
          </w:tcPr>
          <w:p w:rsidR="0077447C" w:rsidRDefault="0077447C">
            <w:pPr>
              <w:widowControl w:val="0"/>
              <w:pBdr>
                <w:top w:val="nil"/>
                <w:left w:val="nil"/>
                <w:bottom w:val="nil"/>
                <w:right w:val="nil"/>
                <w:between w:val="nil"/>
              </w:pBdr>
              <w:spacing w:after="0" w:line="240" w:lineRule="auto"/>
              <w:ind w:left="0" w:hanging="2"/>
              <w:rPr>
                <w:color w:val="000000"/>
                <w:sz w:val="24"/>
                <w:szCs w:val="24"/>
              </w:rPr>
            </w:pPr>
          </w:p>
        </w:tc>
        <w:tc>
          <w:tcPr>
            <w:tcW w:w="2696" w:type="dxa"/>
            <w:shd w:val="clear" w:color="auto" w:fill="FFFFFF"/>
          </w:tcPr>
          <w:p w:rsidR="0077447C" w:rsidRDefault="0077447C">
            <w:pPr>
              <w:spacing w:after="0" w:line="240" w:lineRule="auto"/>
              <w:ind w:left="0" w:hanging="2"/>
            </w:pPr>
          </w:p>
        </w:tc>
        <w:tc>
          <w:tcPr>
            <w:tcW w:w="2696" w:type="dxa"/>
          </w:tcPr>
          <w:p w:rsidR="0077447C" w:rsidRDefault="0077447C">
            <w:pPr>
              <w:spacing w:after="0" w:line="240" w:lineRule="auto"/>
              <w:ind w:left="0" w:hanging="2"/>
            </w:pPr>
          </w:p>
        </w:tc>
        <w:tc>
          <w:tcPr>
            <w:tcW w:w="2354" w:type="dxa"/>
          </w:tcPr>
          <w:p w:rsidR="0077447C" w:rsidRDefault="0077447C">
            <w:pPr>
              <w:spacing w:after="0" w:line="240" w:lineRule="auto"/>
              <w:ind w:left="0" w:hanging="2"/>
            </w:pPr>
          </w:p>
        </w:tc>
      </w:tr>
    </w:tbl>
    <w:p w:rsidR="0077447C" w:rsidRDefault="0077447C">
      <w:pPr>
        <w:ind w:left="0" w:hanging="2"/>
      </w:pPr>
    </w:p>
    <w:sectPr w:rsidR="0077447C">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7C"/>
    <w:rsid w:val="00187BBF"/>
    <w:rsid w:val="0077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083CE-1E2D-4483-BF99-F5D54B1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pPr>
      <w:ind w:left="720"/>
      <w:contextualSpacing/>
    </w:p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Lucida Grande" w:hAnsi="Lucida Grande"/>
      <w:sz w:val="18"/>
      <w:szCs w:val="18"/>
    </w:rPr>
  </w:style>
  <w:style w:type="character" w:customStyle="1" w:styleId="BalloonTextChar">
    <w:name w:val="Balloon Text Char"/>
    <w:rPr>
      <w:rFonts w:ascii="Lucida Grande" w:hAnsi="Lucida Grande"/>
      <w:w w:val="100"/>
      <w:position w:val="-1"/>
      <w:sz w:val="18"/>
      <w:szCs w:val="18"/>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pPr>
      <w:spacing w:line="240" w:lineRule="auto"/>
    </w:pPr>
    <w:rPr>
      <w:sz w:val="24"/>
      <w:szCs w:val="24"/>
    </w:rPr>
  </w:style>
  <w:style w:type="character" w:customStyle="1" w:styleId="CommentTextChar">
    <w:name w:val="Comment Text Char"/>
    <w:rPr>
      <w:w w:val="100"/>
      <w:position w:val="-1"/>
      <w:sz w:val="24"/>
      <w:szCs w:val="24"/>
      <w:effect w:val="none"/>
      <w:vertAlign w:val="baseline"/>
      <w:cs w:val="0"/>
      <w:em w:val="none"/>
    </w:rPr>
  </w:style>
  <w:style w:type="paragraph" w:styleId="CommentSubject">
    <w:name w:val="annotation subject"/>
    <w:basedOn w:val="CommentText"/>
    <w:next w:val="CommentText"/>
    <w:qFormat/>
    <w:rPr>
      <w:b/>
      <w:bCs/>
      <w:sz w:val="20"/>
      <w:szCs w:val="20"/>
    </w:rPr>
  </w:style>
  <w:style w:type="character" w:customStyle="1" w:styleId="CommentSubjectChar">
    <w:name w:val="Comment Subject Char"/>
    <w:rPr>
      <w:b/>
      <w:bCs/>
      <w:w w:val="100"/>
      <w:position w:val="-1"/>
      <w:sz w:val="20"/>
      <w:szCs w:val="20"/>
      <w:effect w:val="none"/>
      <w:vertAlign w:val="baseline"/>
      <w:cs w:val="0"/>
      <w:em w:val="none"/>
    </w:rPr>
  </w:style>
  <w:style w:type="paragraph" w:customStyle="1" w:styleId="ColorfulList-Accent11">
    <w:name w:val="Colorful List - Accent 11"/>
    <w:basedOn w:val="Normal"/>
    <w:pPr>
      <w:spacing w:after="0" w:line="240" w:lineRule="auto"/>
      <w:ind w:left="720"/>
      <w:contextualSpacing/>
    </w:pPr>
    <w:rPr>
      <w:rFonts w:ascii="Cambria" w:eastAsia="MS Mincho" w:hAnsi="Cambria" w:cs="Times New Roman"/>
      <w:sz w:val="24"/>
      <w:szCs w:val="24"/>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GMB99fSE3d7pGGpAVfsaAd5VQ==">CgMxLjA4AHIhMWxCb0ljYnl6VzIzOGJYcEdzc3gxdldmaGFhWFZIVmVT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lnichols</cp:lastModifiedBy>
  <cp:revision>2</cp:revision>
  <dcterms:created xsi:type="dcterms:W3CDTF">2025-03-25T21:02:00Z</dcterms:created>
  <dcterms:modified xsi:type="dcterms:W3CDTF">2025-03-25T21:02:00Z</dcterms:modified>
</cp:coreProperties>
</file>