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31A" w:rsidRDefault="00EE031A" w:rsidP="00EE031A">
      <w:pPr>
        <w:tabs>
          <w:tab w:val="left" w:pos="180"/>
          <w:tab w:val="left" w:pos="900"/>
        </w:tabs>
        <w:jc w:val="center"/>
        <w:rPr>
          <w:b/>
          <w:sz w:val="28"/>
        </w:rPr>
      </w:pPr>
      <w:bookmarkStart w:id="0" w:name="_GoBack"/>
      <w:bookmarkEnd w:id="0"/>
      <w:r w:rsidRPr="00EE031A">
        <w:rPr>
          <w:b/>
          <w:sz w:val="28"/>
        </w:rPr>
        <w:t>2015-16 Quantitative Literacy ILO Assessment</w:t>
      </w:r>
    </w:p>
    <w:p w:rsidR="00BC26F9" w:rsidRPr="00EE031A" w:rsidRDefault="00023541" w:rsidP="00EE031A">
      <w:pPr>
        <w:tabs>
          <w:tab w:val="left" w:pos="180"/>
          <w:tab w:val="left" w:pos="900"/>
        </w:tabs>
        <w:jc w:val="center"/>
        <w:rPr>
          <w:b/>
          <w:sz w:val="24"/>
        </w:rPr>
      </w:pPr>
      <w:r>
        <w:rPr>
          <w:b/>
          <w:sz w:val="28"/>
        </w:rPr>
        <w:t>Summary of Efforts and Progress as of</w:t>
      </w:r>
      <w:r w:rsidR="00BC26F9">
        <w:rPr>
          <w:b/>
          <w:sz w:val="28"/>
        </w:rPr>
        <w:t xml:space="preserve"> February 2016</w:t>
      </w:r>
    </w:p>
    <w:p w:rsidR="00AA2247" w:rsidRDefault="00AA2247" w:rsidP="006E20C2">
      <w:pPr>
        <w:spacing w:after="0" w:line="240" w:lineRule="auto"/>
        <w:jc w:val="both"/>
        <w:rPr>
          <w:b/>
          <w:sz w:val="24"/>
        </w:rPr>
      </w:pPr>
    </w:p>
    <w:p w:rsidR="006C542F" w:rsidRDefault="006C542F" w:rsidP="006E20C2">
      <w:pPr>
        <w:spacing w:after="0" w:line="240" w:lineRule="auto"/>
        <w:jc w:val="both"/>
        <w:rPr>
          <w:b/>
          <w:sz w:val="24"/>
        </w:rPr>
      </w:pPr>
      <w:r>
        <w:rPr>
          <w:b/>
          <w:sz w:val="24"/>
        </w:rPr>
        <w:t xml:space="preserve">Stephen Contakes, Ray </w:t>
      </w:r>
      <w:proofErr w:type="spellStart"/>
      <w:r>
        <w:rPr>
          <w:b/>
          <w:sz w:val="24"/>
        </w:rPr>
        <w:t>Rosentrater</w:t>
      </w:r>
      <w:proofErr w:type="spellEnd"/>
      <w:r>
        <w:rPr>
          <w:b/>
          <w:sz w:val="24"/>
        </w:rPr>
        <w:t xml:space="preserve">, and Enrico </w:t>
      </w:r>
      <w:proofErr w:type="spellStart"/>
      <w:r>
        <w:rPr>
          <w:b/>
          <w:sz w:val="24"/>
        </w:rPr>
        <w:t>Manlapig</w:t>
      </w:r>
      <w:proofErr w:type="spellEnd"/>
      <w:r>
        <w:rPr>
          <w:b/>
          <w:sz w:val="24"/>
        </w:rPr>
        <w:t>, QL ILO Assessment Team</w:t>
      </w:r>
    </w:p>
    <w:p w:rsidR="006C542F" w:rsidRDefault="006C542F" w:rsidP="006E20C2">
      <w:pPr>
        <w:spacing w:after="0" w:line="240" w:lineRule="auto"/>
        <w:jc w:val="both"/>
        <w:rPr>
          <w:b/>
          <w:sz w:val="24"/>
        </w:rPr>
      </w:pPr>
    </w:p>
    <w:p w:rsidR="00462FDA" w:rsidRDefault="00462FDA" w:rsidP="00462FDA">
      <w:pPr>
        <w:spacing w:after="0" w:line="240" w:lineRule="auto"/>
        <w:jc w:val="both"/>
        <w:rPr>
          <w:b/>
          <w:sz w:val="24"/>
        </w:rPr>
      </w:pPr>
      <w:r>
        <w:rPr>
          <w:b/>
          <w:sz w:val="24"/>
        </w:rPr>
        <w:t xml:space="preserve">What are our aims? </w:t>
      </w:r>
    </w:p>
    <w:p w:rsidR="00462FDA" w:rsidRPr="006A7200" w:rsidRDefault="00462FDA" w:rsidP="00462FDA">
      <w:pPr>
        <w:spacing w:after="0" w:line="240" w:lineRule="auto"/>
        <w:jc w:val="both"/>
        <w:rPr>
          <w:b/>
          <w:sz w:val="24"/>
        </w:rPr>
      </w:pPr>
      <w:r>
        <w:rPr>
          <w:sz w:val="24"/>
        </w:rPr>
        <w:t>The present project</w:t>
      </w:r>
      <w:r w:rsidRPr="006A7200">
        <w:rPr>
          <w:sz w:val="24"/>
        </w:rPr>
        <w:t xml:space="preserve"> seeks to assess scope and adequacy of Westmont</w:t>
      </w:r>
      <w:r>
        <w:rPr>
          <w:sz w:val="24"/>
        </w:rPr>
        <w:t>’s Q</w:t>
      </w:r>
      <w:r w:rsidRPr="006A7200">
        <w:rPr>
          <w:sz w:val="24"/>
        </w:rPr>
        <w:t xml:space="preserve">uantitative </w:t>
      </w:r>
      <w:r>
        <w:rPr>
          <w:sz w:val="24"/>
        </w:rPr>
        <w:t>L</w:t>
      </w:r>
      <w:r w:rsidRPr="006A7200">
        <w:rPr>
          <w:sz w:val="24"/>
        </w:rPr>
        <w:t>iteracy</w:t>
      </w:r>
      <w:r>
        <w:rPr>
          <w:sz w:val="24"/>
        </w:rPr>
        <w:t xml:space="preserve"> (QL)</w:t>
      </w:r>
      <w:r w:rsidRPr="006A7200">
        <w:rPr>
          <w:sz w:val="24"/>
        </w:rPr>
        <w:t xml:space="preserve"> ILO:</w:t>
      </w:r>
    </w:p>
    <w:p w:rsidR="00462FDA" w:rsidRPr="006A7200" w:rsidRDefault="00462FDA" w:rsidP="00462FDA">
      <w:pPr>
        <w:spacing w:after="0" w:line="240" w:lineRule="auto"/>
        <w:jc w:val="both"/>
        <w:rPr>
          <w:b/>
          <w:sz w:val="6"/>
        </w:rPr>
      </w:pPr>
    </w:p>
    <w:p w:rsidR="00462FDA" w:rsidRDefault="00462FDA" w:rsidP="00462FDA">
      <w:pPr>
        <w:spacing w:after="0" w:line="240" w:lineRule="auto"/>
        <w:ind w:left="720"/>
        <w:jc w:val="both"/>
        <w:rPr>
          <w:rFonts w:eastAsia="Times New Roman" w:cs="Arial"/>
          <w:sz w:val="24"/>
        </w:rPr>
      </w:pPr>
      <w:r>
        <w:rPr>
          <w:b/>
          <w:sz w:val="24"/>
        </w:rPr>
        <w:t xml:space="preserve">QL </w:t>
      </w:r>
      <w:r w:rsidRPr="00AB1D58">
        <w:rPr>
          <w:b/>
          <w:sz w:val="24"/>
        </w:rPr>
        <w:t>ILO:</w:t>
      </w:r>
      <w:r w:rsidRPr="00EE031A">
        <w:rPr>
          <w:sz w:val="24"/>
        </w:rPr>
        <w:t xml:space="preserve">  “Graduates of Westmont College will </w:t>
      </w:r>
      <w:r w:rsidRPr="00EE031A">
        <w:rPr>
          <w:rFonts w:eastAsia="Times New Roman" w:cs="Arial"/>
          <w:sz w:val="24"/>
        </w:rPr>
        <w:t>apply relevant scientific, mathematical and logical methods to analyze and solve problems effectively and be able to utilize the results appropriately when making decisions (Quantitative Literacy)”</w:t>
      </w:r>
    </w:p>
    <w:p w:rsidR="00462FDA" w:rsidRPr="006A7200" w:rsidRDefault="00462FDA" w:rsidP="00462FDA">
      <w:pPr>
        <w:spacing w:after="0" w:line="240" w:lineRule="auto"/>
        <w:ind w:left="720"/>
        <w:jc w:val="both"/>
        <w:rPr>
          <w:rFonts w:eastAsia="Times New Roman" w:cs="Arial"/>
          <w:sz w:val="6"/>
        </w:rPr>
      </w:pPr>
    </w:p>
    <w:p w:rsidR="00462FDA" w:rsidRDefault="00462FDA" w:rsidP="00462FDA">
      <w:pPr>
        <w:spacing w:after="0" w:line="240" w:lineRule="auto"/>
        <w:jc w:val="both"/>
        <w:rPr>
          <w:rFonts w:eastAsia="Times New Roman" w:cs="Arial"/>
          <w:sz w:val="24"/>
        </w:rPr>
      </w:pPr>
      <w:r>
        <w:rPr>
          <w:rFonts w:eastAsia="Times New Roman" w:cs="Arial"/>
          <w:sz w:val="24"/>
        </w:rPr>
        <w:t>As part of this effort the closely-aligned Quantitative &amp; Analytical Reasoning (QAR) GELO will also be assessed:</w:t>
      </w:r>
    </w:p>
    <w:p w:rsidR="00462FDA" w:rsidRPr="006A7200" w:rsidRDefault="00462FDA" w:rsidP="00462FDA">
      <w:pPr>
        <w:spacing w:after="0" w:line="240" w:lineRule="auto"/>
        <w:jc w:val="both"/>
        <w:rPr>
          <w:rFonts w:eastAsia="Times New Roman" w:cs="Arial"/>
          <w:sz w:val="4"/>
        </w:rPr>
      </w:pPr>
    </w:p>
    <w:p w:rsidR="00462FDA" w:rsidRDefault="00462FDA" w:rsidP="00462FDA">
      <w:pPr>
        <w:shd w:val="clear" w:color="auto" w:fill="FFFFFF" w:themeFill="background1"/>
        <w:tabs>
          <w:tab w:val="left" w:pos="450"/>
        </w:tabs>
        <w:spacing w:after="0" w:line="240" w:lineRule="auto"/>
        <w:ind w:left="720"/>
        <w:jc w:val="both"/>
        <w:rPr>
          <w:rFonts w:ascii="Calibri" w:hAnsi="Calibri" w:cs="Calibri"/>
          <w:bCs/>
          <w:sz w:val="24"/>
          <w:szCs w:val="24"/>
        </w:rPr>
      </w:pPr>
      <w:r w:rsidRPr="006A7200">
        <w:rPr>
          <w:b/>
          <w:sz w:val="24"/>
          <w:szCs w:val="24"/>
        </w:rPr>
        <w:t>QAR GELO:</w:t>
      </w:r>
      <w:r w:rsidRPr="006C542F">
        <w:rPr>
          <w:sz w:val="24"/>
          <w:szCs w:val="24"/>
        </w:rPr>
        <w:t xml:space="preserve">  </w:t>
      </w:r>
      <w:r w:rsidRPr="006C542F">
        <w:rPr>
          <w:rFonts w:ascii="Calibri" w:eastAsia="Times New Roman" w:hAnsi="Calibri" w:cs="Calibri"/>
          <w:sz w:val="24"/>
          <w:szCs w:val="24"/>
        </w:rPr>
        <w:t xml:space="preserve">Students will </w:t>
      </w:r>
      <w:r w:rsidRPr="006C542F">
        <w:rPr>
          <w:rFonts w:ascii="Calibri" w:hAnsi="Calibri" w:cs="Calibri"/>
          <w:bCs/>
          <w:sz w:val="24"/>
          <w:szCs w:val="24"/>
        </w:rPr>
        <w:t>apply relevant scientific, mathematical and logical methods to analyze and solve problems effectively and be able to utilize the results appropriately when making decisions.</w:t>
      </w:r>
    </w:p>
    <w:p w:rsidR="00462FDA" w:rsidRPr="0099260C" w:rsidRDefault="00462FDA" w:rsidP="00462FDA">
      <w:pPr>
        <w:shd w:val="clear" w:color="auto" w:fill="FFFFFF" w:themeFill="background1"/>
        <w:tabs>
          <w:tab w:val="left" w:pos="450"/>
        </w:tabs>
        <w:spacing w:after="0" w:line="240" w:lineRule="auto"/>
        <w:ind w:left="720"/>
        <w:jc w:val="both"/>
        <w:rPr>
          <w:rFonts w:ascii="Calibri" w:hAnsi="Calibri" w:cs="Calibri"/>
          <w:sz w:val="2"/>
          <w:szCs w:val="2"/>
        </w:rPr>
      </w:pPr>
    </w:p>
    <w:p w:rsidR="00462FDA" w:rsidRPr="0099260C" w:rsidRDefault="00D15032" w:rsidP="00462FDA">
      <w:pPr>
        <w:shd w:val="clear" w:color="auto" w:fill="FFFFFF" w:themeFill="background1"/>
        <w:tabs>
          <w:tab w:val="left" w:pos="450"/>
        </w:tabs>
        <w:spacing w:after="0" w:line="240" w:lineRule="auto"/>
        <w:jc w:val="both"/>
        <w:rPr>
          <w:rFonts w:ascii="Calibri" w:hAnsi="Calibri" w:cs="Calibri"/>
          <w:sz w:val="24"/>
          <w:szCs w:val="24"/>
        </w:rPr>
      </w:pPr>
      <w:r>
        <w:rPr>
          <w:sz w:val="24"/>
          <w:szCs w:val="24"/>
        </w:rPr>
        <w:t>We will u</w:t>
      </w:r>
      <w:r w:rsidR="00462FDA">
        <w:rPr>
          <w:sz w:val="24"/>
          <w:szCs w:val="24"/>
        </w:rPr>
        <w:t>se our experiences assessing the QL ILO and QAR GELO to develop more effective, streamlined, and sustainable assessment efforts for these areas.</w:t>
      </w:r>
    </w:p>
    <w:p w:rsidR="00EE031A" w:rsidRPr="00BC35CD" w:rsidRDefault="00EE031A" w:rsidP="006E20C2">
      <w:pPr>
        <w:tabs>
          <w:tab w:val="left" w:pos="180"/>
          <w:tab w:val="left" w:pos="900"/>
        </w:tabs>
        <w:spacing w:after="0" w:line="240" w:lineRule="auto"/>
        <w:jc w:val="both"/>
        <w:rPr>
          <w:sz w:val="20"/>
        </w:rPr>
      </w:pPr>
    </w:p>
    <w:p w:rsidR="00462FDA" w:rsidRDefault="00462FDA" w:rsidP="00462FDA">
      <w:pPr>
        <w:tabs>
          <w:tab w:val="left" w:pos="180"/>
          <w:tab w:val="left" w:pos="900"/>
        </w:tabs>
        <w:spacing w:after="0" w:line="240" w:lineRule="auto"/>
        <w:jc w:val="both"/>
        <w:rPr>
          <w:sz w:val="24"/>
        </w:rPr>
      </w:pPr>
      <w:r>
        <w:rPr>
          <w:b/>
          <w:sz w:val="24"/>
        </w:rPr>
        <w:t>What is our assessment plan and how is it being implemented?</w:t>
      </w:r>
      <w:r>
        <w:rPr>
          <w:sz w:val="24"/>
        </w:rPr>
        <w:t xml:space="preserve"> </w:t>
      </w:r>
    </w:p>
    <w:p w:rsidR="00462FDA" w:rsidRDefault="00462FDA" w:rsidP="00462FDA">
      <w:pPr>
        <w:tabs>
          <w:tab w:val="left" w:pos="180"/>
          <w:tab w:val="left" w:pos="900"/>
        </w:tabs>
        <w:spacing w:after="0" w:line="240" w:lineRule="auto"/>
        <w:jc w:val="both"/>
        <w:rPr>
          <w:sz w:val="24"/>
        </w:rPr>
      </w:pPr>
      <w:r>
        <w:rPr>
          <w:sz w:val="24"/>
        </w:rPr>
        <w:t>Our plan to assess the scope and impact</w:t>
      </w:r>
      <w:r w:rsidRPr="009E4AF0">
        <w:rPr>
          <w:sz w:val="24"/>
        </w:rPr>
        <w:t xml:space="preserve"> of quantitative literacy education </w:t>
      </w:r>
      <w:r>
        <w:rPr>
          <w:sz w:val="24"/>
        </w:rPr>
        <w:t>at Westmont was to:</w:t>
      </w:r>
    </w:p>
    <w:p w:rsidR="00462FDA" w:rsidRPr="006A7200" w:rsidRDefault="00462FDA" w:rsidP="00462FDA">
      <w:pPr>
        <w:tabs>
          <w:tab w:val="left" w:pos="180"/>
          <w:tab w:val="left" w:pos="900"/>
        </w:tabs>
        <w:spacing w:after="0" w:line="240" w:lineRule="auto"/>
        <w:jc w:val="both"/>
        <w:rPr>
          <w:sz w:val="2"/>
          <w:szCs w:val="8"/>
        </w:rPr>
      </w:pPr>
    </w:p>
    <w:p w:rsidR="00EE031A" w:rsidRPr="006C542F" w:rsidRDefault="00462FDA" w:rsidP="00462FDA">
      <w:pPr>
        <w:pStyle w:val="ListParagraph"/>
        <w:numPr>
          <w:ilvl w:val="0"/>
          <w:numId w:val="13"/>
        </w:numPr>
        <w:shd w:val="clear" w:color="auto" w:fill="FFFFFF" w:themeFill="background1"/>
        <w:tabs>
          <w:tab w:val="left" w:pos="180"/>
          <w:tab w:val="left" w:pos="900"/>
        </w:tabs>
        <w:spacing w:after="0" w:line="240" w:lineRule="auto"/>
        <w:jc w:val="both"/>
        <w:rPr>
          <w:sz w:val="24"/>
        </w:rPr>
      </w:pPr>
      <w:r>
        <w:rPr>
          <w:sz w:val="24"/>
        </w:rPr>
        <w:t>Evaluate the alignment between the QL ILO and</w:t>
      </w:r>
      <w:r w:rsidRPr="00334E7F">
        <w:rPr>
          <w:sz w:val="24"/>
        </w:rPr>
        <w:t xml:space="preserve"> </w:t>
      </w:r>
      <w:r>
        <w:rPr>
          <w:sz w:val="24"/>
        </w:rPr>
        <w:t xml:space="preserve">the scope, quality, and </w:t>
      </w:r>
      <w:r w:rsidRPr="006C542F">
        <w:rPr>
          <w:sz w:val="24"/>
        </w:rPr>
        <w:t xml:space="preserve">impact of the courses offered in the Quantitative and Analytical Reasoning (QAR) GE category </w:t>
      </w:r>
      <w:r w:rsidR="005043A3" w:rsidRPr="006C542F">
        <w:rPr>
          <w:sz w:val="24"/>
        </w:rPr>
        <w:t>(appendices</w:t>
      </w:r>
      <w:r w:rsidR="00BC35CD" w:rsidRPr="006C542F">
        <w:rPr>
          <w:sz w:val="24"/>
        </w:rPr>
        <w:t xml:space="preserve"> 1</w:t>
      </w:r>
      <w:r w:rsidR="005043A3" w:rsidRPr="006C542F">
        <w:rPr>
          <w:sz w:val="24"/>
        </w:rPr>
        <w:t>-5</w:t>
      </w:r>
      <w:r w:rsidR="00BC35CD" w:rsidRPr="006C542F">
        <w:rPr>
          <w:sz w:val="24"/>
        </w:rPr>
        <w:t>)</w:t>
      </w:r>
      <w:r w:rsidR="000F31D9" w:rsidRPr="006C542F">
        <w:rPr>
          <w:sz w:val="24"/>
        </w:rPr>
        <w:t xml:space="preserve"> as well as student’s self-reporting of engagement with quantitative reasoning on the appropriate items on the National Survey of Student Engagement (NSSE) (appendix 6)</w:t>
      </w:r>
      <w:r w:rsidR="00EE031A" w:rsidRPr="006C542F">
        <w:rPr>
          <w:sz w:val="24"/>
        </w:rPr>
        <w:t>.</w:t>
      </w:r>
    </w:p>
    <w:p w:rsidR="00F93B97" w:rsidRPr="006C542F" w:rsidRDefault="00334E7F" w:rsidP="006C542F">
      <w:pPr>
        <w:pStyle w:val="ListParagraph"/>
        <w:numPr>
          <w:ilvl w:val="0"/>
          <w:numId w:val="13"/>
        </w:numPr>
        <w:shd w:val="clear" w:color="auto" w:fill="FFFFFF" w:themeFill="background1"/>
        <w:tabs>
          <w:tab w:val="left" w:pos="180"/>
          <w:tab w:val="left" w:pos="900"/>
        </w:tabs>
        <w:spacing w:after="0" w:line="240" w:lineRule="auto"/>
        <w:jc w:val="both"/>
        <w:rPr>
          <w:sz w:val="24"/>
        </w:rPr>
      </w:pPr>
      <w:r w:rsidRPr="006C542F">
        <w:rPr>
          <w:sz w:val="24"/>
        </w:rPr>
        <w:t>Assess the overall impact of quantitative literacy education at Westmont by comparing the</w:t>
      </w:r>
      <w:r w:rsidR="00F93B97" w:rsidRPr="006C542F">
        <w:rPr>
          <w:sz w:val="24"/>
        </w:rPr>
        <w:t xml:space="preserve"> </w:t>
      </w:r>
      <w:r w:rsidRPr="006C542F">
        <w:rPr>
          <w:sz w:val="24"/>
        </w:rPr>
        <w:t xml:space="preserve">quantitative reasoning abilities of </w:t>
      </w:r>
    </w:p>
    <w:p w:rsidR="00F93B97" w:rsidRPr="006C542F" w:rsidRDefault="00334E7F" w:rsidP="006C542F">
      <w:pPr>
        <w:pStyle w:val="ListParagraph"/>
        <w:numPr>
          <w:ilvl w:val="1"/>
          <w:numId w:val="13"/>
        </w:numPr>
        <w:shd w:val="clear" w:color="auto" w:fill="FFFFFF" w:themeFill="background1"/>
        <w:tabs>
          <w:tab w:val="left" w:pos="180"/>
          <w:tab w:val="left" w:pos="900"/>
        </w:tabs>
        <w:spacing w:after="0" w:line="240" w:lineRule="auto"/>
        <w:jc w:val="both"/>
        <w:rPr>
          <w:sz w:val="24"/>
        </w:rPr>
      </w:pPr>
      <w:r w:rsidRPr="006C542F">
        <w:rPr>
          <w:sz w:val="24"/>
        </w:rPr>
        <w:t xml:space="preserve">seniors and incoming </w:t>
      </w:r>
      <w:r w:rsidR="005043A3" w:rsidRPr="006C542F">
        <w:rPr>
          <w:sz w:val="24"/>
        </w:rPr>
        <w:t>first year and transfer students</w:t>
      </w:r>
      <w:r w:rsidR="000F31D9" w:rsidRPr="006C542F">
        <w:rPr>
          <w:sz w:val="24"/>
        </w:rPr>
        <w:t xml:space="preserve"> (appendix 7</w:t>
      </w:r>
      <w:r w:rsidR="00F93B97" w:rsidRPr="006C542F">
        <w:rPr>
          <w:sz w:val="24"/>
        </w:rPr>
        <w:t>)</w:t>
      </w:r>
    </w:p>
    <w:p w:rsidR="00F93B97" w:rsidRPr="006C542F" w:rsidRDefault="00F93B97" w:rsidP="006C542F">
      <w:pPr>
        <w:pStyle w:val="ListParagraph"/>
        <w:numPr>
          <w:ilvl w:val="1"/>
          <w:numId w:val="13"/>
        </w:numPr>
        <w:shd w:val="clear" w:color="auto" w:fill="FFFFFF" w:themeFill="background1"/>
        <w:tabs>
          <w:tab w:val="left" w:pos="180"/>
          <w:tab w:val="left" w:pos="900"/>
        </w:tabs>
        <w:spacing w:after="0" w:line="240" w:lineRule="auto"/>
        <w:jc w:val="both"/>
        <w:rPr>
          <w:sz w:val="24"/>
        </w:rPr>
      </w:pPr>
      <w:r w:rsidRPr="006C542F">
        <w:rPr>
          <w:sz w:val="24"/>
        </w:rPr>
        <w:t>students completing and entering Westmont QAR courses</w:t>
      </w:r>
      <w:r w:rsidR="000F31D9" w:rsidRPr="006C542F">
        <w:rPr>
          <w:sz w:val="24"/>
        </w:rPr>
        <w:t xml:space="preserve"> (appendix 8</w:t>
      </w:r>
      <w:r w:rsidRPr="006C542F">
        <w:rPr>
          <w:sz w:val="24"/>
        </w:rPr>
        <w:t>)</w:t>
      </w:r>
    </w:p>
    <w:p w:rsidR="00334E7F" w:rsidRPr="006C542F" w:rsidRDefault="00F93B97" w:rsidP="006C542F">
      <w:pPr>
        <w:shd w:val="clear" w:color="auto" w:fill="FFFFFF" w:themeFill="background1"/>
        <w:tabs>
          <w:tab w:val="left" w:pos="180"/>
          <w:tab w:val="left" w:pos="900"/>
        </w:tabs>
        <w:spacing w:after="0" w:line="240" w:lineRule="auto"/>
        <w:jc w:val="both"/>
        <w:rPr>
          <w:sz w:val="24"/>
        </w:rPr>
      </w:pPr>
      <w:r w:rsidRPr="006C542F">
        <w:rPr>
          <w:sz w:val="24"/>
        </w:rPr>
        <w:tab/>
        <w:t xml:space="preserve">          </w:t>
      </w:r>
      <w:proofErr w:type="gramStart"/>
      <w:r w:rsidR="005043A3" w:rsidRPr="006C542F">
        <w:rPr>
          <w:sz w:val="24"/>
        </w:rPr>
        <w:t>using</w:t>
      </w:r>
      <w:proofErr w:type="gramEnd"/>
      <w:r w:rsidR="005043A3" w:rsidRPr="006C542F">
        <w:rPr>
          <w:sz w:val="24"/>
        </w:rPr>
        <w:t xml:space="preserve"> the Quantitative L</w:t>
      </w:r>
      <w:r w:rsidRPr="006C542F">
        <w:rPr>
          <w:sz w:val="24"/>
        </w:rPr>
        <w:t>iteracy Reasoning Assessment (QLRA)</w:t>
      </w:r>
      <w:r w:rsidR="005043A3" w:rsidRPr="006C542F">
        <w:rPr>
          <w:sz w:val="24"/>
        </w:rPr>
        <w:t xml:space="preserve"> </w:t>
      </w:r>
      <w:r w:rsidR="000F31D9" w:rsidRPr="006C542F">
        <w:rPr>
          <w:sz w:val="24"/>
        </w:rPr>
        <w:t>test</w:t>
      </w:r>
      <w:r w:rsidR="00334E7F" w:rsidRPr="006C542F">
        <w:rPr>
          <w:sz w:val="24"/>
        </w:rPr>
        <w:t>.</w:t>
      </w:r>
    </w:p>
    <w:p w:rsidR="00334E7F" w:rsidRPr="006C542F" w:rsidRDefault="005043A3" w:rsidP="006C542F">
      <w:pPr>
        <w:pStyle w:val="ListParagraph"/>
        <w:numPr>
          <w:ilvl w:val="0"/>
          <w:numId w:val="13"/>
        </w:numPr>
        <w:shd w:val="clear" w:color="auto" w:fill="FFFFFF" w:themeFill="background1"/>
        <w:tabs>
          <w:tab w:val="left" w:pos="180"/>
          <w:tab w:val="left" w:pos="900"/>
        </w:tabs>
        <w:spacing w:after="0" w:line="240" w:lineRule="auto"/>
        <w:jc w:val="both"/>
        <w:rPr>
          <w:sz w:val="24"/>
        </w:rPr>
      </w:pPr>
      <w:r w:rsidRPr="006C542F">
        <w:rPr>
          <w:sz w:val="24"/>
        </w:rPr>
        <w:t>Assess how a Westmont education impacts students’ perspectives on quantitative reasoning by comparing senior and incoming first year and transfer students</w:t>
      </w:r>
      <w:r w:rsidR="00F93B97" w:rsidRPr="006C542F">
        <w:rPr>
          <w:sz w:val="24"/>
        </w:rPr>
        <w:t>’ attitudes towards quantitative reasoning as assessed by the supplemental questi</w:t>
      </w:r>
      <w:r w:rsidR="000F31D9" w:rsidRPr="006C542F">
        <w:rPr>
          <w:sz w:val="24"/>
        </w:rPr>
        <w:t>ons on the QLRA test (Appendix 9</w:t>
      </w:r>
      <w:r w:rsidR="00F93B97" w:rsidRPr="006C542F">
        <w:rPr>
          <w:sz w:val="24"/>
        </w:rPr>
        <w:t>)</w:t>
      </w:r>
      <w:r w:rsidR="000F31D9" w:rsidRPr="006C542F">
        <w:rPr>
          <w:sz w:val="24"/>
        </w:rPr>
        <w:t xml:space="preserve"> </w:t>
      </w:r>
      <w:r w:rsidRPr="006C542F">
        <w:rPr>
          <w:sz w:val="24"/>
        </w:rPr>
        <w:t xml:space="preserve"> </w:t>
      </w:r>
    </w:p>
    <w:p w:rsidR="00BC35CD" w:rsidRPr="006C542F" w:rsidRDefault="00BC35CD" w:rsidP="006C542F">
      <w:pPr>
        <w:shd w:val="clear" w:color="auto" w:fill="FFFFFF" w:themeFill="background1"/>
        <w:tabs>
          <w:tab w:val="left" w:pos="450"/>
        </w:tabs>
        <w:spacing w:after="0" w:line="240" w:lineRule="auto"/>
        <w:jc w:val="both"/>
        <w:rPr>
          <w:rFonts w:ascii="Calibri" w:hAnsi="Calibri" w:cs="Calibri"/>
          <w:sz w:val="20"/>
          <w:szCs w:val="24"/>
        </w:rPr>
      </w:pPr>
    </w:p>
    <w:p w:rsidR="00462FDA" w:rsidRDefault="00462FDA" w:rsidP="00462FDA">
      <w:pPr>
        <w:shd w:val="clear" w:color="auto" w:fill="FFFFFF" w:themeFill="background1"/>
        <w:tabs>
          <w:tab w:val="left" w:pos="180"/>
          <w:tab w:val="left" w:pos="900"/>
        </w:tabs>
        <w:spacing w:after="0" w:line="240" w:lineRule="auto"/>
        <w:jc w:val="both"/>
        <w:rPr>
          <w:b/>
          <w:sz w:val="24"/>
        </w:rPr>
      </w:pPr>
      <w:r>
        <w:rPr>
          <w:b/>
          <w:sz w:val="24"/>
        </w:rPr>
        <w:t>What have we learned so far and how have we attempted to close the loop</w:t>
      </w:r>
      <w:r w:rsidRPr="00EE031A">
        <w:rPr>
          <w:b/>
          <w:sz w:val="24"/>
        </w:rPr>
        <w:t>?</w:t>
      </w:r>
    </w:p>
    <w:p w:rsidR="008729A7" w:rsidRDefault="0036634A" w:rsidP="00CB45EE">
      <w:pPr>
        <w:tabs>
          <w:tab w:val="left" w:pos="180"/>
          <w:tab w:val="left" w:pos="900"/>
        </w:tabs>
        <w:spacing w:after="0" w:line="240" w:lineRule="auto"/>
        <w:jc w:val="both"/>
        <w:rPr>
          <w:sz w:val="24"/>
        </w:rPr>
      </w:pPr>
      <w:r>
        <w:rPr>
          <w:sz w:val="24"/>
        </w:rPr>
        <w:t>A summary of the detailed</w:t>
      </w:r>
      <w:r w:rsidR="00894147">
        <w:rPr>
          <w:sz w:val="24"/>
        </w:rPr>
        <w:t xml:space="preserve"> </w:t>
      </w:r>
      <w:r w:rsidR="00462FDA">
        <w:rPr>
          <w:sz w:val="24"/>
        </w:rPr>
        <w:t>assessment plan</w:t>
      </w:r>
      <w:r w:rsidR="00F93B97">
        <w:rPr>
          <w:sz w:val="24"/>
        </w:rPr>
        <w:t xml:space="preserve"> </w:t>
      </w:r>
      <w:r w:rsidR="00894147">
        <w:rPr>
          <w:sz w:val="24"/>
        </w:rPr>
        <w:t xml:space="preserve">and </w:t>
      </w:r>
      <w:r>
        <w:rPr>
          <w:sz w:val="24"/>
        </w:rPr>
        <w:t>our</w:t>
      </w:r>
      <w:r w:rsidR="00894147">
        <w:rPr>
          <w:sz w:val="24"/>
        </w:rPr>
        <w:t xml:space="preserve"> current progress </w:t>
      </w:r>
      <w:r w:rsidR="00462FDA">
        <w:rPr>
          <w:sz w:val="24"/>
        </w:rPr>
        <w:t xml:space="preserve">in implementing it </w:t>
      </w:r>
      <w:r w:rsidR="00F93B97">
        <w:rPr>
          <w:sz w:val="24"/>
        </w:rPr>
        <w:t xml:space="preserve">is outlined </w:t>
      </w:r>
      <w:r w:rsidR="00396AF4">
        <w:rPr>
          <w:sz w:val="24"/>
        </w:rPr>
        <w:t>in Table 1.</w:t>
      </w:r>
    </w:p>
    <w:p w:rsidR="00396AF4" w:rsidRPr="00BC35CD" w:rsidRDefault="00396AF4" w:rsidP="00EE031A">
      <w:pPr>
        <w:tabs>
          <w:tab w:val="left" w:pos="180"/>
          <w:tab w:val="left" w:pos="900"/>
        </w:tabs>
        <w:spacing w:after="0" w:line="240" w:lineRule="auto"/>
        <w:rPr>
          <w:sz w:val="12"/>
        </w:rPr>
      </w:pPr>
    </w:p>
    <w:p w:rsidR="00CB45EE" w:rsidRDefault="00CB45EE" w:rsidP="00CB45EE">
      <w:pPr>
        <w:rPr>
          <w:b/>
          <w:sz w:val="24"/>
        </w:rPr>
        <w:sectPr w:rsidR="00CB45EE" w:rsidSect="002A1EE7">
          <w:footerReference w:type="default" r:id="rId8"/>
          <w:pgSz w:w="12240" w:h="15840"/>
          <w:pgMar w:top="720" w:right="720" w:bottom="821" w:left="720" w:header="720" w:footer="720" w:gutter="0"/>
          <w:cols w:space="720"/>
          <w:docGrid w:linePitch="360"/>
        </w:sectPr>
      </w:pPr>
    </w:p>
    <w:p w:rsidR="00396AF4" w:rsidRPr="00CB45EE" w:rsidRDefault="00396AF4" w:rsidP="00CB45EE">
      <w:pPr>
        <w:rPr>
          <w:b/>
          <w:sz w:val="24"/>
        </w:rPr>
      </w:pPr>
      <w:r w:rsidRPr="00396AF4">
        <w:rPr>
          <w:b/>
          <w:sz w:val="24"/>
        </w:rPr>
        <w:lastRenderedPageBreak/>
        <w:t>Table 1.</w:t>
      </w:r>
      <w:r>
        <w:rPr>
          <w:sz w:val="24"/>
        </w:rPr>
        <w:t xml:space="preserve">  </w:t>
      </w:r>
      <w:r w:rsidR="00BA5589">
        <w:rPr>
          <w:sz w:val="24"/>
        </w:rPr>
        <w:t>Summary of a</w:t>
      </w:r>
      <w:r>
        <w:rPr>
          <w:sz w:val="24"/>
        </w:rPr>
        <w:t xml:space="preserve">spects of quantitative literacy that </w:t>
      </w:r>
      <w:r w:rsidR="00C65A12">
        <w:rPr>
          <w:sz w:val="24"/>
        </w:rPr>
        <w:t xml:space="preserve">were or </w:t>
      </w:r>
      <w:r>
        <w:rPr>
          <w:sz w:val="24"/>
        </w:rPr>
        <w:t>will be assessed in the 2015-16 QL ILO assessment.</w:t>
      </w:r>
    </w:p>
    <w:tbl>
      <w:tblPr>
        <w:tblStyle w:val="TableGrid"/>
        <w:tblW w:w="0" w:type="auto"/>
        <w:tblLook w:val="04A0" w:firstRow="1" w:lastRow="0" w:firstColumn="1" w:lastColumn="0" w:noHBand="0" w:noVBand="1"/>
      </w:tblPr>
      <w:tblGrid>
        <w:gridCol w:w="2718"/>
        <w:gridCol w:w="4500"/>
        <w:gridCol w:w="3690"/>
        <w:gridCol w:w="3607"/>
      </w:tblGrid>
      <w:tr w:rsidR="00CB45EE" w:rsidTr="00023541">
        <w:tc>
          <w:tcPr>
            <w:tcW w:w="2718" w:type="dxa"/>
          </w:tcPr>
          <w:p w:rsidR="00CB45EE" w:rsidRPr="00220FCC" w:rsidRDefault="00CB45EE" w:rsidP="00220FCC">
            <w:pPr>
              <w:tabs>
                <w:tab w:val="left" w:pos="0"/>
                <w:tab w:val="left" w:pos="900"/>
              </w:tabs>
              <w:rPr>
                <w:i/>
                <w:sz w:val="24"/>
              </w:rPr>
            </w:pPr>
            <w:r w:rsidRPr="00220FCC">
              <w:rPr>
                <w:i/>
                <w:sz w:val="24"/>
              </w:rPr>
              <w:t>What will be assessed?</w:t>
            </w:r>
          </w:p>
        </w:tc>
        <w:tc>
          <w:tcPr>
            <w:tcW w:w="4500" w:type="dxa"/>
          </w:tcPr>
          <w:p w:rsidR="00CB45EE" w:rsidRPr="00220FCC" w:rsidRDefault="00CB45EE" w:rsidP="00220FCC">
            <w:pPr>
              <w:tabs>
                <w:tab w:val="left" w:pos="0"/>
                <w:tab w:val="left" w:pos="900"/>
              </w:tabs>
              <w:rPr>
                <w:i/>
                <w:sz w:val="24"/>
              </w:rPr>
            </w:pPr>
            <w:r w:rsidRPr="00220FCC">
              <w:rPr>
                <w:i/>
                <w:sz w:val="24"/>
              </w:rPr>
              <w:t>How?</w:t>
            </w:r>
          </w:p>
        </w:tc>
        <w:tc>
          <w:tcPr>
            <w:tcW w:w="3690" w:type="dxa"/>
          </w:tcPr>
          <w:p w:rsidR="00CB45EE" w:rsidRPr="00220FCC" w:rsidRDefault="00CB45EE" w:rsidP="00220FCC">
            <w:pPr>
              <w:tabs>
                <w:tab w:val="left" w:pos="0"/>
                <w:tab w:val="left" w:pos="900"/>
              </w:tabs>
              <w:rPr>
                <w:i/>
                <w:sz w:val="24"/>
              </w:rPr>
            </w:pPr>
            <w:r>
              <w:rPr>
                <w:i/>
                <w:sz w:val="24"/>
              </w:rPr>
              <w:t>What did we learn?</w:t>
            </w:r>
          </w:p>
        </w:tc>
        <w:tc>
          <w:tcPr>
            <w:tcW w:w="3607" w:type="dxa"/>
          </w:tcPr>
          <w:p w:rsidR="00CB45EE" w:rsidRDefault="00CB45EE" w:rsidP="00220FCC">
            <w:pPr>
              <w:tabs>
                <w:tab w:val="left" w:pos="0"/>
                <w:tab w:val="left" w:pos="900"/>
              </w:tabs>
              <w:rPr>
                <w:i/>
                <w:sz w:val="24"/>
              </w:rPr>
            </w:pPr>
            <w:r>
              <w:rPr>
                <w:i/>
                <w:sz w:val="24"/>
              </w:rPr>
              <w:t>What did we do?</w:t>
            </w:r>
          </w:p>
        </w:tc>
      </w:tr>
      <w:tr w:rsidR="00B44BF7" w:rsidTr="00023541">
        <w:trPr>
          <w:trHeight w:val="2213"/>
        </w:trPr>
        <w:tc>
          <w:tcPr>
            <w:tcW w:w="2718" w:type="dxa"/>
            <w:vMerge w:val="restart"/>
          </w:tcPr>
          <w:p w:rsidR="00B44BF7" w:rsidRDefault="00B44BF7" w:rsidP="00220FCC">
            <w:pPr>
              <w:tabs>
                <w:tab w:val="left" w:pos="0"/>
                <w:tab w:val="left" w:pos="900"/>
              </w:tabs>
              <w:jc w:val="both"/>
              <w:rPr>
                <w:sz w:val="24"/>
              </w:rPr>
            </w:pPr>
            <w:r w:rsidRPr="00396AF4">
              <w:rPr>
                <w:sz w:val="24"/>
              </w:rPr>
              <w:t xml:space="preserve">The scope and adequacy of quantitative literacy education inputs at Westmont?  </w:t>
            </w:r>
            <w:r w:rsidR="00620E6D">
              <w:rPr>
                <w:sz w:val="24"/>
              </w:rPr>
              <w:t xml:space="preserve">Specifically, whether </w:t>
            </w:r>
            <w:r w:rsidRPr="00396AF4">
              <w:rPr>
                <w:sz w:val="24"/>
              </w:rPr>
              <w:t xml:space="preserve">our QAR GE category </w:t>
            </w:r>
            <w:r w:rsidR="00620E6D">
              <w:rPr>
                <w:sz w:val="24"/>
              </w:rPr>
              <w:t xml:space="preserve">is </w:t>
            </w:r>
            <w:r w:rsidRPr="00396AF4">
              <w:rPr>
                <w:sz w:val="24"/>
              </w:rPr>
              <w:t xml:space="preserve">adequate in terms of the number and range of courses represented, and the </w:t>
            </w:r>
            <w:r>
              <w:rPr>
                <w:sz w:val="24"/>
              </w:rPr>
              <w:t xml:space="preserve">intended </w:t>
            </w:r>
            <w:r w:rsidRPr="00396AF4">
              <w:rPr>
                <w:sz w:val="24"/>
              </w:rPr>
              <w:t>pervasiveness and rigo</w:t>
            </w:r>
            <w:r w:rsidR="00620E6D">
              <w:rPr>
                <w:sz w:val="24"/>
              </w:rPr>
              <w:t>r of QL in a Westmont education.</w:t>
            </w:r>
          </w:p>
        </w:tc>
        <w:tc>
          <w:tcPr>
            <w:tcW w:w="4500" w:type="dxa"/>
          </w:tcPr>
          <w:p w:rsidR="00B44BF7" w:rsidRDefault="00B44BF7" w:rsidP="00C816B2">
            <w:pPr>
              <w:tabs>
                <w:tab w:val="left" w:pos="0"/>
                <w:tab w:val="left" w:pos="900"/>
              </w:tabs>
              <w:jc w:val="both"/>
              <w:rPr>
                <w:sz w:val="24"/>
              </w:rPr>
            </w:pPr>
            <w:r>
              <w:rPr>
                <w:sz w:val="24"/>
              </w:rPr>
              <w:t>The adequacy of Westmont’s quantitative and analytical reasoning (QAR) GE Learning Outcome (GELO) was assessed in discussions among the instructors of QAR courses and by comparing the existing GELO with the literature on quantitative literacy education.</w:t>
            </w:r>
          </w:p>
        </w:tc>
        <w:tc>
          <w:tcPr>
            <w:tcW w:w="3690" w:type="dxa"/>
          </w:tcPr>
          <w:p w:rsidR="00B44BF7" w:rsidRDefault="00B44BF7" w:rsidP="00C816B2">
            <w:pPr>
              <w:tabs>
                <w:tab w:val="left" w:pos="0"/>
                <w:tab w:val="left" w:pos="900"/>
              </w:tabs>
              <w:jc w:val="both"/>
              <w:rPr>
                <w:sz w:val="24"/>
              </w:rPr>
            </w:pPr>
            <w:r>
              <w:rPr>
                <w:sz w:val="24"/>
              </w:rPr>
              <w:t>The pre-2015 QAR GE Learning Outcome (GELO) and course certification criteria did not adequately emphasize the use of quantitative reasoning in problem solving.</w:t>
            </w:r>
          </w:p>
        </w:tc>
        <w:tc>
          <w:tcPr>
            <w:tcW w:w="3607" w:type="dxa"/>
          </w:tcPr>
          <w:p w:rsidR="00B44BF7" w:rsidRDefault="00B44BF7" w:rsidP="00C816B2">
            <w:pPr>
              <w:tabs>
                <w:tab w:val="left" w:pos="0"/>
                <w:tab w:val="left" w:pos="900"/>
              </w:tabs>
              <w:jc w:val="both"/>
              <w:rPr>
                <w:sz w:val="24"/>
              </w:rPr>
            </w:pPr>
            <w:r>
              <w:rPr>
                <w:sz w:val="24"/>
              </w:rPr>
              <w:t xml:space="preserve">The </w:t>
            </w:r>
            <w:r w:rsidR="00D15032">
              <w:rPr>
                <w:sz w:val="24"/>
              </w:rPr>
              <w:t xml:space="preserve">QL ILO, </w:t>
            </w:r>
            <w:r>
              <w:rPr>
                <w:sz w:val="24"/>
              </w:rPr>
              <w:t>QAR GELO</w:t>
            </w:r>
            <w:r w:rsidR="00D15032">
              <w:rPr>
                <w:sz w:val="24"/>
              </w:rPr>
              <w:t>, and QAR course certification criteria were</w:t>
            </w:r>
            <w:r>
              <w:rPr>
                <w:sz w:val="24"/>
              </w:rPr>
              <w:t xml:space="preserve"> changed in the Spring of 2015 to better emphasize our desire that students grow in their ability to employ quantitative literacy in problem solving applications.</w:t>
            </w:r>
          </w:p>
        </w:tc>
      </w:tr>
      <w:tr w:rsidR="00B44BF7" w:rsidTr="00023541">
        <w:trPr>
          <w:trHeight w:val="2439"/>
        </w:trPr>
        <w:tc>
          <w:tcPr>
            <w:tcW w:w="2718" w:type="dxa"/>
            <w:vMerge/>
          </w:tcPr>
          <w:p w:rsidR="00B44BF7" w:rsidRPr="00396AF4" w:rsidRDefault="00B44BF7" w:rsidP="00220FCC">
            <w:pPr>
              <w:tabs>
                <w:tab w:val="left" w:pos="0"/>
                <w:tab w:val="left" w:pos="900"/>
              </w:tabs>
              <w:jc w:val="both"/>
              <w:rPr>
                <w:sz w:val="24"/>
              </w:rPr>
            </w:pPr>
          </w:p>
        </w:tc>
        <w:tc>
          <w:tcPr>
            <w:tcW w:w="4500" w:type="dxa"/>
          </w:tcPr>
          <w:p w:rsidR="00B44BF7" w:rsidRDefault="00B44BF7" w:rsidP="00C816B2">
            <w:pPr>
              <w:tabs>
                <w:tab w:val="left" w:pos="0"/>
                <w:tab w:val="left" w:pos="900"/>
              </w:tabs>
              <w:jc w:val="both"/>
              <w:rPr>
                <w:sz w:val="24"/>
              </w:rPr>
            </w:pPr>
            <w:r>
              <w:rPr>
                <w:sz w:val="24"/>
              </w:rPr>
              <w:t xml:space="preserve">The disciplinary scope and availability of QAR approved GE courses was reviewed.  </w:t>
            </w:r>
          </w:p>
          <w:p w:rsidR="00B44BF7" w:rsidRDefault="00B44BF7" w:rsidP="00C816B2">
            <w:pPr>
              <w:tabs>
                <w:tab w:val="left" w:pos="0"/>
                <w:tab w:val="left" w:pos="900"/>
              </w:tabs>
              <w:jc w:val="both"/>
              <w:rPr>
                <w:sz w:val="24"/>
              </w:rPr>
            </w:pPr>
          </w:p>
          <w:p w:rsidR="00B44BF7" w:rsidRDefault="00B44BF7" w:rsidP="00220FCC">
            <w:pPr>
              <w:tabs>
                <w:tab w:val="left" w:pos="0"/>
                <w:tab w:val="left" w:pos="900"/>
              </w:tabs>
              <w:jc w:val="both"/>
              <w:rPr>
                <w:sz w:val="24"/>
              </w:rPr>
            </w:pPr>
          </w:p>
        </w:tc>
        <w:tc>
          <w:tcPr>
            <w:tcW w:w="3690" w:type="dxa"/>
          </w:tcPr>
          <w:p w:rsidR="00B44BF7" w:rsidRDefault="00B44BF7" w:rsidP="00C816B2">
            <w:pPr>
              <w:tabs>
                <w:tab w:val="left" w:pos="0"/>
                <w:tab w:val="left" w:pos="900"/>
              </w:tabs>
              <w:jc w:val="both"/>
              <w:rPr>
                <w:sz w:val="24"/>
              </w:rPr>
            </w:pPr>
            <w:r>
              <w:rPr>
                <w:sz w:val="24"/>
              </w:rPr>
              <w:t>There are adequate QAR offerings among the lower division science, computer science and math courses but relatively few in the humanities and social sciences, partly because these students either take the math statistics course or meet the GE through an elective.  We also learned that there are few upper division QAR courses.</w:t>
            </w:r>
          </w:p>
          <w:p w:rsidR="00B44BF7" w:rsidRDefault="00B44BF7" w:rsidP="00CB45EE">
            <w:pPr>
              <w:tabs>
                <w:tab w:val="left" w:pos="0"/>
                <w:tab w:val="left" w:pos="900"/>
              </w:tabs>
              <w:jc w:val="both"/>
              <w:rPr>
                <w:sz w:val="24"/>
              </w:rPr>
            </w:pPr>
          </w:p>
        </w:tc>
        <w:tc>
          <w:tcPr>
            <w:tcW w:w="3607" w:type="dxa"/>
          </w:tcPr>
          <w:p w:rsidR="00B44BF7" w:rsidRDefault="0012285F" w:rsidP="0012285F">
            <w:pPr>
              <w:tabs>
                <w:tab w:val="left" w:pos="0"/>
                <w:tab w:val="left" w:pos="900"/>
              </w:tabs>
              <w:jc w:val="both"/>
              <w:rPr>
                <w:sz w:val="24"/>
              </w:rPr>
            </w:pPr>
            <w:r>
              <w:rPr>
                <w:sz w:val="24"/>
              </w:rPr>
              <w:t xml:space="preserve">These findings were presented to the GE committee, academic senate, and full faculty.  </w:t>
            </w:r>
            <w:r w:rsidR="00B44BF7">
              <w:rPr>
                <w:sz w:val="24"/>
              </w:rPr>
              <w:t>Other actions are pending GE committee, senate, and whole faculty discussion</w:t>
            </w:r>
            <w:r>
              <w:rPr>
                <w:sz w:val="24"/>
              </w:rPr>
              <w:t xml:space="preserve"> of the QAR assessment results and more work may be needed to assess the pervasiveness of quantitative literacy content in upper division and major courses.  </w:t>
            </w:r>
          </w:p>
          <w:p w:rsidR="0012285F" w:rsidRDefault="0012285F" w:rsidP="0012285F">
            <w:pPr>
              <w:tabs>
                <w:tab w:val="left" w:pos="0"/>
                <w:tab w:val="left" w:pos="900"/>
              </w:tabs>
              <w:jc w:val="both"/>
              <w:rPr>
                <w:sz w:val="24"/>
              </w:rPr>
            </w:pPr>
          </w:p>
        </w:tc>
      </w:tr>
      <w:tr w:rsidR="00B44BF7" w:rsidTr="00023541">
        <w:trPr>
          <w:trHeight w:val="2439"/>
        </w:trPr>
        <w:tc>
          <w:tcPr>
            <w:tcW w:w="2718" w:type="dxa"/>
            <w:vMerge/>
          </w:tcPr>
          <w:p w:rsidR="00B44BF7" w:rsidRPr="00396AF4" w:rsidRDefault="00B44BF7" w:rsidP="00220FCC">
            <w:pPr>
              <w:tabs>
                <w:tab w:val="left" w:pos="0"/>
                <w:tab w:val="left" w:pos="900"/>
              </w:tabs>
              <w:jc w:val="both"/>
              <w:rPr>
                <w:sz w:val="24"/>
              </w:rPr>
            </w:pPr>
          </w:p>
        </w:tc>
        <w:tc>
          <w:tcPr>
            <w:tcW w:w="4500" w:type="dxa"/>
          </w:tcPr>
          <w:p w:rsidR="00B44BF7" w:rsidRDefault="00B44BF7" w:rsidP="00C816B2">
            <w:pPr>
              <w:tabs>
                <w:tab w:val="left" w:pos="0"/>
                <w:tab w:val="left" w:pos="900"/>
              </w:tabs>
              <w:jc w:val="both"/>
              <w:rPr>
                <w:sz w:val="24"/>
              </w:rPr>
            </w:pPr>
            <w:r>
              <w:rPr>
                <w:sz w:val="24"/>
              </w:rPr>
              <w:t>A survey of 2015 graduate data was undertaken to determine how our students meet the QAR GE Requirement?</w:t>
            </w:r>
          </w:p>
          <w:p w:rsidR="00B44BF7" w:rsidRDefault="00B44BF7" w:rsidP="00220FCC">
            <w:pPr>
              <w:tabs>
                <w:tab w:val="left" w:pos="0"/>
                <w:tab w:val="left" w:pos="900"/>
              </w:tabs>
              <w:jc w:val="both"/>
              <w:rPr>
                <w:sz w:val="24"/>
              </w:rPr>
            </w:pPr>
          </w:p>
        </w:tc>
        <w:tc>
          <w:tcPr>
            <w:tcW w:w="3690" w:type="dxa"/>
          </w:tcPr>
          <w:p w:rsidR="00B44BF7" w:rsidRDefault="00B44BF7" w:rsidP="00C816B2">
            <w:pPr>
              <w:tabs>
                <w:tab w:val="left" w:pos="0"/>
                <w:tab w:val="left" w:pos="900"/>
              </w:tabs>
              <w:jc w:val="both"/>
              <w:rPr>
                <w:sz w:val="24"/>
              </w:rPr>
            </w:pPr>
            <w:r>
              <w:rPr>
                <w:sz w:val="24"/>
              </w:rPr>
              <w:t>Most students (~90%) meet the QAR GE requirement t</w:t>
            </w:r>
            <w:r w:rsidR="00023541">
              <w:rPr>
                <w:sz w:val="24"/>
              </w:rPr>
              <w:t xml:space="preserve">hrough a Westmont course.  In addition, </w:t>
            </w:r>
            <w:r>
              <w:rPr>
                <w:sz w:val="24"/>
              </w:rPr>
              <w:t xml:space="preserve">38% of students meet the QAR GE </w:t>
            </w:r>
            <w:r w:rsidR="00626577">
              <w:rPr>
                <w:sz w:val="24"/>
              </w:rPr>
              <w:t xml:space="preserve">requirement </w:t>
            </w:r>
            <w:r>
              <w:rPr>
                <w:sz w:val="24"/>
              </w:rPr>
              <w:t>through a major-required course.</w:t>
            </w:r>
          </w:p>
          <w:p w:rsidR="00B44BF7" w:rsidRDefault="00B44BF7" w:rsidP="00CB45EE">
            <w:pPr>
              <w:tabs>
                <w:tab w:val="left" w:pos="0"/>
                <w:tab w:val="left" w:pos="900"/>
              </w:tabs>
              <w:jc w:val="both"/>
              <w:rPr>
                <w:sz w:val="24"/>
              </w:rPr>
            </w:pPr>
          </w:p>
        </w:tc>
        <w:tc>
          <w:tcPr>
            <w:tcW w:w="3607" w:type="dxa"/>
          </w:tcPr>
          <w:p w:rsidR="00B44BF7" w:rsidRDefault="0012285F" w:rsidP="00C816B2">
            <w:pPr>
              <w:tabs>
                <w:tab w:val="left" w:pos="0"/>
                <w:tab w:val="left" w:pos="900"/>
              </w:tabs>
              <w:jc w:val="both"/>
              <w:rPr>
                <w:sz w:val="24"/>
              </w:rPr>
            </w:pPr>
            <w:r>
              <w:rPr>
                <w:sz w:val="24"/>
              </w:rPr>
              <w:t xml:space="preserve">These findings were presented to the GE committee, academic senate, and full faculty.  </w:t>
            </w:r>
            <w:r w:rsidR="00B44BF7">
              <w:rPr>
                <w:sz w:val="24"/>
              </w:rPr>
              <w:t xml:space="preserve">While our ultimate course of action is pending GE committee, senate, and whole faculty discussion of the QAR assessment results, the consensus so far is that </w:t>
            </w:r>
            <w:r w:rsidR="00626577">
              <w:rPr>
                <w:sz w:val="24"/>
              </w:rPr>
              <w:t xml:space="preserve">the pervasiveness of QAR in upper division and major courses is </w:t>
            </w:r>
            <w:r w:rsidR="00023541">
              <w:rPr>
                <w:sz w:val="24"/>
              </w:rPr>
              <w:t xml:space="preserve">possibly </w:t>
            </w:r>
            <w:r w:rsidR="00626577">
              <w:rPr>
                <w:sz w:val="24"/>
              </w:rPr>
              <w:t>a greater area of concern</w:t>
            </w:r>
            <w:r w:rsidR="00B44BF7">
              <w:rPr>
                <w:sz w:val="24"/>
              </w:rPr>
              <w:t>.</w:t>
            </w:r>
          </w:p>
          <w:p w:rsidR="00B44BF7" w:rsidRDefault="00B44BF7" w:rsidP="00220FCC">
            <w:pPr>
              <w:tabs>
                <w:tab w:val="left" w:pos="0"/>
                <w:tab w:val="left" w:pos="900"/>
              </w:tabs>
              <w:jc w:val="both"/>
              <w:rPr>
                <w:sz w:val="24"/>
              </w:rPr>
            </w:pPr>
          </w:p>
        </w:tc>
      </w:tr>
    </w:tbl>
    <w:p w:rsidR="00023541" w:rsidRDefault="00023541" w:rsidP="00220FCC">
      <w:pPr>
        <w:tabs>
          <w:tab w:val="left" w:pos="0"/>
          <w:tab w:val="left" w:pos="900"/>
        </w:tabs>
        <w:rPr>
          <w:b/>
          <w:sz w:val="24"/>
        </w:rPr>
      </w:pPr>
    </w:p>
    <w:p w:rsidR="00626577" w:rsidRDefault="00626577" w:rsidP="00220FCC">
      <w:pPr>
        <w:tabs>
          <w:tab w:val="left" w:pos="0"/>
          <w:tab w:val="left" w:pos="900"/>
        </w:tabs>
        <w:rPr>
          <w:b/>
          <w:sz w:val="24"/>
        </w:rPr>
      </w:pPr>
      <w:r>
        <w:rPr>
          <w:b/>
          <w:sz w:val="24"/>
        </w:rPr>
        <w:lastRenderedPageBreak/>
        <w:t xml:space="preserve">Table 1 (continued).   </w:t>
      </w:r>
      <w:r>
        <w:rPr>
          <w:sz w:val="24"/>
        </w:rPr>
        <w:t>Summary of aspects of quantitative literacy that were or will be assessed in the 2015-16 QL ILO assessment.</w:t>
      </w:r>
    </w:p>
    <w:tbl>
      <w:tblPr>
        <w:tblStyle w:val="TableGrid"/>
        <w:tblW w:w="0" w:type="auto"/>
        <w:tblLook w:val="04A0" w:firstRow="1" w:lastRow="0" w:firstColumn="1" w:lastColumn="0" w:noHBand="0" w:noVBand="1"/>
      </w:tblPr>
      <w:tblGrid>
        <w:gridCol w:w="2718"/>
        <w:gridCol w:w="4770"/>
        <w:gridCol w:w="3600"/>
        <w:gridCol w:w="3427"/>
      </w:tblGrid>
      <w:tr w:rsidR="00626577" w:rsidTr="008F2EFF">
        <w:trPr>
          <w:trHeight w:val="350"/>
        </w:trPr>
        <w:tc>
          <w:tcPr>
            <w:tcW w:w="2718" w:type="dxa"/>
          </w:tcPr>
          <w:p w:rsidR="00626577" w:rsidRDefault="00626577" w:rsidP="008F2EFF">
            <w:pPr>
              <w:tabs>
                <w:tab w:val="left" w:pos="0"/>
                <w:tab w:val="left" w:pos="900"/>
              </w:tabs>
              <w:jc w:val="both"/>
              <w:rPr>
                <w:i/>
                <w:sz w:val="24"/>
              </w:rPr>
            </w:pPr>
            <w:r w:rsidRPr="00220FCC">
              <w:rPr>
                <w:i/>
                <w:sz w:val="24"/>
              </w:rPr>
              <w:t>What will be assessed?</w:t>
            </w:r>
          </w:p>
          <w:p w:rsidR="00626577" w:rsidRPr="00396AF4" w:rsidRDefault="00626577" w:rsidP="008F2EFF">
            <w:pPr>
              <w:tabs>
                <w:tab w:val="left" w:pos="0"/>
                <w:tab w:val="left" w:pos="900"/>
              </w:tabs>
              <w:jc w:val="both"/>
              <w:rPr>
                <w:sz w:val="24"/>
              </w:rPr>
            </w:pPr>
            <w:r>
              <w:rPr>
                <w:i/>
                <w:sz w:val="24"/>
              </w:rPr>
              <w:t>(continued)</w:t>
            </w:r>
          </w:p>
        </w:tc>
        <w:tc>
          <w:tcPr>
            <w:tcW w:w="4770" w:type="dxa"/>
          </w:tcPr>
          <w:p w:rsidR="00626577" w:rsidRPr="00220FCC" w:rsidRDefault="00626577" w:rsidP="008F2EFF">
            <w:pPr>
              <w:tabs>
                <w:tab w:val="left" w:pos="0"/>
                <w:tab w:val="left" w:pos="900"/>
              </w:tabs>
              <w:rPr>
                <w:i/>
                <w:sz w:val="24"/>
              </w:rPr>
            </w:pPr>
            <w:r w:rsidRPr="00220FCC">
              <w:rPr>
                <w:i/>
                <w:sz w:val="24"/>
              </w:rPr>
              <w:t>How</w:t>
            </w:r>
            <w:r>
              <w:rPr>
                <w:i/>
                <w:sz w:val="24"/>
              </w:rPr>
              <w:t>?</w:t>
            </w:r>
          </w:p>
        </w:tc>
        <w:tc>
          <w:tcPr>
            <w:tcW w:w="3600" w:type="dxa"/>
          </w:tcPr>
          <w:p w:rsidR="00626577" w:rsidRPr="00220FCC" w:rsidRDefault="00626577" w:rsidP="008F2EFF">
            <w:pPr>
              <w:tabs>
                <w:tab w:val="left" w:pos="0"/>
                <w:tab w:val="left" w:pos="900"/>
              </w:tabs>
              <w:rPr>
                <w:i/>
                <w:sz w:val="24"/>
              </w:rPr>
            </w:pPr>
            <w:r>
              <w:rPr>
                <w:i/>
                <w:sz w:val="24"/>
              </w:rPr>
              <w:t>What did we learn?</w:t>
            </w:r>
          </w:p>
        </w:tc>
        <w:tc>
          <w:tcPr>
            <w:tcW w:w="3427" w:type="dxa"/>
          </w:tcPr>
          <w:p w:rsidR="00626577" w:rsidRDefault="00626577" w:rsidP="008F2EFF">
            <w:pPr>
              <w:tabs>
                <w:tab w:val="left" w:pos="0"/>
                <w:tab w:val="left" w:pos="900"/>
              </w:tabs>
              <w:rPr>
                <w:i/>
                <w:sz w:val="24"/>
              </w:rPr>
            </w:pPr>
            <w:r>
              <w:rPr>
                <w:i/>
                <w:sz w:val="24"/>
              </w:rPr>
              <w:t>What did we do?</w:t>
            </w:r>
          </w:p>
        </w:tc>
      </w:tr>
      <w:tr w:rsidR="00626577" w:rsidTr="008F2EFF">
        <w:trPr>
          <w:trHeight w:val="1719"/>
        </w:trPr>
        <w:tc>
          <w:tcPr>
            <w:tcW w:w="2718" w:type="dxa"/>
            <w:vMerge w:val="restart"/>
          </w:tcPr>
          <w:p w:rsidR="00626577" w:rsidRPr="00396AF4" w:rsidRDefault="00620E6D" w:rsidP="008F2EFF">
            <w:pPr>
              <w:tabs>
                <w:tab w:val="left" w:pos="0"/>
                <w:tab w:val="left" w:pos="900"/>
              </w:tabs>
              <w:jc w:val="both"/>
              <w:rPr>
                <w:sz w:val="24"/>
              </w:rPr>
            </w:pPr>
            <w:r w:rsidRPr="00396AF4">
              <w:rPr>
                <w:sz w:val="24"/>
              </w:rPr>
              <w:t xml:space="preserve">The scope and adequacy of quantitative literacy education inputs at Westmont?  </w:t>
            </w:r>
            <w:r>
              <w:rPr>
                <w:sz w:val="24"/>
              </w:rPr>
              <w:t xml:space="preserve">Specifically, whether </w:t>
            </w:r>
            <w:r w:rsidRPr="00396AF4">
              <w:rPr>
                <w:sz w:val="24"/>
              </w:rPr>
              <w:t xml:space="preserve">our QAR GE category </w:t>
            </w:r>
            <w:r>
              <w:rPr>
                <w:sz w:val="24"/>
              </w:rPr>
              <w:t xml:space="preserve">is </w:t>
            </w:r>
            <w:r w:rsidRPr="00396AF4">
              <w:rPr>
                <w:sz w:val="24"/>
              </w:rPr>
              <w:t xml:space="preserve">adequate in terms of the number and range of courses represented, and the </w:t>
            </w:r>
            <w:r>
              <w:rPr>
                <w:sz w:val="24"/>
              </w:rPr>
              <w:t xml:space="preserve">intended </w:t>
            </w:r>
            <w:r w:rsidRPr="00396AF4">
              <w:rPr>
                <w:sz w:val="24"/>
              </w:rPr>
              <w:t>pervasiveness and rigo</w:t>
            </w:r>
            <w:r>
              <w:rPr>
                <w:sz w:val="24"/>
              </w:rPr>
              <w:t xml:space="preserve">r of QL in a Westmont education. </w:t>
            </w:r>
            <w:r w:rsidR="00626577">
              <w:rPr>
                <w:sz w:val="24"/>
              </w:rPr>
              <w:t>(Continued)</w:t>
            </w:r>
          </w:p>
        </w:tc>
        <w:tc>
          <w:tcPr>
            <w:tcW w:w="4770" w:type="dxa"/>
          </w:tcPr>
          <w:p w:rsidR="00626577" w:rsidRDefault="00626577" w:rsidP="008F2EFF">
            <w:pPr>
              <w:tabs>
                <w:tab w:val="left" w:pos="0"/>
                <w:tab w:val="left" w:pos="900"/>
              </w:tabs>
              <w:jc w:val="both"/>
              <w:rPr>
                <w:sz w:val="24"/>
              </w:rPr>
            </w:pPr>
            <w:r>
              <w:rPr>
                <w:sz w:val="24"/>
              </w:rPr>
              <w:t>The GE committee undertook a QAR syllabus review to evaluate the extent to which these documents evidenced a rigorous and pervasive approach to quantitative literacy.</w:t>
            </w:r>
          </w:p>
          <w:p w:rsidR="00626577" w:rsidRDefault="00626577" w:rsidP="008F2EFF">
            <w:pPr>
              <w:tabs>
                <w:tab w:val="left" w:pos="0"/>
                <w:tab w:val="left" w:pos="900"/>
              </w:tabs>
              <w:jc w:val="both"/>
              <w:rPr>
                <w:sz w:val="24"/>
              </w:rPr>
            </w:pPr>
          </w:p>
        </w:tc>
        <w:tc>
          <w:tcPr>
            <w:tcW w:w="3600" w:type="dxa"/>
          </w:tcPr>
          <w:p w:rsidR="00626577" w:rsidRDefault="00626577" w:rsidP="008F2EFF">
            <w:pPr>
              <w:tabs>
                <w:tab w:val="left" w:pos="0"/>
                <w:tab w:val="left" w:pos="900"/>
              </w:tabs>
              <w:jc w:val="both"/>
              <w:rPr>
                <w:sz w:val="24"/>
              </w:rPr>
            </w:pPr>
            <w:r>
              <w:rPr>
                <w:sz w:val="24"/>
              </w:rPr>
              <w:t>There appears to be a high degree of instructor support for the QAR GE category, although there is room for improvement in terms of our expectations for how effectively instructors explain how their course meets the QAR GE certification criteria, especially with respect to assessing quantitative models as tools in the natural and social sciences.</w:t>
            </w:r>
          </w:p>
          <w:p w:rsidR="0012285F" w:rsidRDefault="0012285F" w:rsidP="008F2EFF">
            <w:pPr>
              <w:tabs>
                <w:tab w:val="left" w:pos="0"/>
                <w:tab w:val="left" w:pos="900"/>
              </w:tabs>
              <w:jc w:val="both"/>
              <w:rPr>
                <w:sz w:val="24"/>
              </w:rPr>
            </w:pPr>
          </w:p>
        </w:tc>
        <w:tc>
          <w:tcPr>
            <w:tcW w:w="3427" w:type="dxa"/>
          </w:tcPr>
          <w:p w:rsidR="00626577" w:rsidRDefault="0012285F" w:rsidP="0012285F">
            <w:pPr>
              <w:tabs>
                <w:tab w:val="left" w:pos="0"/>
                <w:tab w:val="left" w:pos="900"/>
              </w:tabs>
              <w:jc w:val="both"/>
              <w:rPr>
                <w:sz w:val="24"/>
              </w:rPr>
            </w:pPr>
            <w:r>
              <w:rPr>
                <w:sz w:val="24"/>
              </w:rPr>
              <w:t xml:space="preserve">These findings were presented to the GE committee.  </w:t>
            </w:r>
            <w:r w:rsidR="00626577">
              <w:rPr>
                <w:sz w:val="24"/>
              </w:rPr>
              <w:t>Pending GE committee, senate, and whole faculty discussion of the QAR assessment results as well as further faculty discussion on expectations for syllabi</w:t>
            </w:r>
            <w:r w:rsidR="00023541">
              <w:rPr>
                <w:sz w:val="24"/>
              </w:rPr>
              <w:t xml:space="preserve"> and how they should be taught and enforced</w:t>
            </w:r>
            <w:r w:rsidR="00626577">
              <w:rPr>
                <w:sz w:val="24"/>
              </w:rPr>
              <w:t>.</w:t>
            </w:r>
          </w:p>
        </w:tc>
      </w:tr>
      <w:tr w:rsidR="00626577" w:rsidTr="008F2EFF">
        <w:trPr>
          <w:trHeight w:val="2439"/>
        </w:trPr>
        <w:tc>
          <w:tcPr>
            <w:tcW w:w="2718" w:type="dxa"/>
            <w:vMerge/>
          </w:tcPr>
          <w:p w:rsidR="00626577" w:rsidRPr="00396AF4" w:rsidRDefault="00626577" w:rsidP="008F2EFF">
            <w:pPr>
              <w:tabs>
                <w:tab w:val="left" w:pos="0"/>
                <w:tab w:val="left" w:pos="900"/>
              </w:tabs>
              <w:jc w:val="both"/>
              <w:rPr>
                <w:sz w:val="24"/>
              </w:rPr>
            </w:pPr>
          </w:p>
        </w:tc>
        <w:tc>
          <w:tcPr>
            <w:tcW w:w="4770" w:type="dxa"/>
          </w:tcPr>
          <w:p w:rsidR="00626577" w:rsidRDefault="00626577" w:rsidP="008F2EFF">
            <w:pPr>
              <w:tabs>
                <w:tab w:val="left" w:pos="0"/>
                <w:tab w:val="left" w:pos="900"/>
              </w:tabs>
              <w:jc w:val="both"/>
              <w:rPr>
                <w:sz w:val="24"/>
              </w:rPr>
            </w:pPr>
            <w:r>
              <w:rPr>
                <w:sz w:val="24"/>
              </w:rPr>
              <w:t>Senior and first year responses to the three quantitative literacy questions on the National Survey of Student Engagement (NSSE) were reviewed.  These questions ask students about the frequency with which they engage in quantitative literacy and reasoning tasks.</w:t>
            </w:r>
          </w:p>
        </w:tc>
        <w:tc>
          <w:tcPr>
            <w:tcW w:w="3600" w:type="dxa"/>
          </w:tcPr>
          <w:p w:rsidR="00626577" w:rsidRPr="00C816B2" w:rsidRDefault="00626577" w:rsidP="008F2EFF">
            <w:pPr>
              <w:tabs>
                <w:tab w:val="left" w:pos="180"/>
                <w:tab w:val="left" w:pos="630"/>
              </w:tabs>
              <w:jc w:val="both"/>
              <w:rPr>
                <w:sz w:val="24"/>
              </w:rPr>
            </w:pPr>
            <w:r w:rsidRPr="00C816B2">
              <w:rPr>
                <w:sz w:val="24"/>
              </w:rPr>
              <w:t>Westmont students perceive themselves to engage in quantitative reasoning about as often as other CCCU students and as often as or slightly less often than their peers at other California and US institutions.</w:t>
            </w:r>
          </w:p>
          <w:p w:rsidR="00626577" w:rsidRDefault="00626577" w:rsidP="008F2EFF">
            <w:pPr>
              <w:tabs>
                <w:tab w:val="left" w:pos="0"/>
                <w:tab w:val="left" w:pos="900"/>
              </w:tabs>
              <w:jc w:val="both"/>
              <w:rPr>
                <w:sz w:val="24"/>
              </w:rPr>
            </w:pPr>
          </w:p>
        </w:tc>
        <w:tc>
          <w:tcPr>
            <w:tcW w:w="3427" w:type="dxa"/>
          </w:tcPr>
          <w:p w:rsidR="00626577" w:rsidRDefault="0012285F" w:rsidP="008F2EFF">
            <w:pPr>
              <w:tabs>
                <w:tab w:val="left" w:pos="0"/>
                <w:tab w:val="left" w:pos="900"/>
              </w:tabs>
              <w:jc w:val="both"/>
              <w:rPr>
                <w:sz w:val="24"/>
              </w:rPr>
            </w:pPr>
            <w:r>
              <w:rPr>
                <w:sz w:val="24"/>
              </w:rPr>
              <w:t xml:space="preserve">These findings were presented to the GE committee, academic senate, and full faculty.  </w:t>
            </w:r>
            <w:r w:rsidR="00626577">
              <w:rPr>
                <w:sz w:val="24"/>
              </w:rPr>
              <w:t>While our ultimate course of action is pending GE committee, senate, and whole faculty discussion of the QAR assessment results, the consensus so far is that student engagement with quantitative reasoning can be improved by addressing the other issues identified in this assessment.</w:t>
            </w:r>
          </w:p>
          <w:p w:rsidR="0012285F" w:rsidRDefault="0012285F" w:rsidP="008F2EFF">
            <w:pPr>
              <w:tabs>
                <w:tab w:val="left" w:pos="0"/>
                <w:tab w:val="left" w:pos="900"/>
              </w:tabs>
              <w:jc w:val="both"/>
              <w:rPr>
                <w:sz w:val="24"/>
              </w:rPr>
            </w:pPr>
          </w:p>
        </w:tc>
      </w:tr>
    </w:tbl>
    <w:p w:rsidR="00626577" w:rsidRDefault="00626577" w:rsidP="00220FCC">
      <w:pPr>
        <w:tabs>
          <w:tab w:val="left" w:pos="0"/>
          <w:tab w:val="left" w:pos="900"/>
        </w:tabs>
        <w:rPr>
          <w:b/>
          <w:sz w:val="24"/>
        </w:rPr>
      </w:pPr>
    </w:p>
    <w:p w:rsidR="00626577" w:rsidRDefault="00626577">
      <w:pPr>
        <w:rPr>
          <w:b/>
          <w:sz w:val="24"/>
        </w:rPr>
      </w:pPr>
      <w:r>
        <w:rPr>
          <w:b/>
          <w:sz w:val="24"/>
        </w:rPr>
        <w:br w:type="page"/>
      </w:r>
    </w:p>
    <w:p w:rsidR="00626577" w:rsidRDefault="00626577" w:rsidP="00220FCC">
      <w:pPr>
        <w:tabs>
          <w:tab w:val="left" w:pos="0"/>
          <w:tab w:val="left" w:pos="900"/>
        </w:tabs>
        <w:rPr>
          <w:b/>
          <w:sz w:val="24"/>
        </w:rPr>
      </w:pPr>
      <w:r>
        <w:rPr>
          <w:b/>
          <w:sz w:val="24"/>
        </w:rPr>
        <w:lastRenderedPageBreak/>
        <w:t xml:space="preserve">Table 1 (continued).   </w:t>
      </w:r>
      <w:r>
        <w:rPr>
          <w:sz w:val="24"/>
        </w:rPr>
        <w:t>Summary of aspects of quantitative literacy that were or will be assessed in the 2015-16 QL ILO assessment.</w:t>
      </w:r>
    </w:p>
    <w:tbl>
      <w:tblPr>
        <w:tblStyle w:val="TableGrid"/>
        <w:tblW w:w="14751" w:type="dxa"/>
        <w:tblLook w:val="04A0" w:firstRow="1" w:lastRow="0" w:firstColumn="1" w:lastColumn="0" w:noHBand="0" w:noVBand="1"/>
      </w:tblPr>
      <w:tblGrid>
        <w:gridCol w:w="2718"/>
        <w:gridCol w:w="4590"/>
        <w:gridCol w:w="3656"/>
        <w:gridCol w:w="3787"/>
      </w:tblGrid>
      <w:tr w:rsidR="00462FDA" w:rsidRPr="00C816B2" w:rsidTr="00462FDA">
        <w:trPr>
          <w:trHeight w:val="620"/>
        </w:trPr>
        <w:tc>
          <w:tcPr>
            <w:tcW w:w="2718" w:type="dxa"/>
          </w:tcPr>
          <w:p w:rsidR="00462FDA" w:rsidRDefault="00462FDA" w:rsidP="001B0B79">
            <w:pPr>
              <w:tabs>
                <w:tab w:val="left" w:pos="0"/>
                <w:tab w:val="left" w:pos="900"/>
              </w:tabs>
              <w:jc w:val="both"/>
              <w:rPr>
                <w:i/>
                <w:sz w:val="24"/>
              </w:rPr>
            </w:pPr>
            <w:r w:rsidRPr="00220FCC">
              <w:rPr>
                <w:i/>
                <w:sz w:val="24"/>
              </w:rPr>
              <w:t>What will be assessed?</w:t>
            </w:r>
          </w:p>
          <w:p w:rsidR="00462FDA" w:rsidRPr="00396AF4" w:rsidRDefault="00462FDA" w:rsidP="001B0B79">
            <w:pPr>
              <w:tabs>
                <w:tab w:val="left" w:pos="0"/>
                <w:tab w:val="left" w:pos="900"/>
              </w:tabs>
              <w:jc w:val="both"/>
              <w:rPr>
                <w:sz w:val="24"/>
              </w:rPr>
            </w:pPr>
            <w:r>
              <w:rPr>
                <w:i/>
                <w:sz w:val="24"/>
              </w:rPr>
              <w:t>(continued)</w:t>
            </w:r>
          </w:p>
        </w:tc>
        <w:tc>
          <w:tcPr>
            <w:tcW w:w="4590" w:type="dxa"/>
          </w:tcPr>
          <w:p w:rsidR="00462FDA" w:rsidRPr="00220FCC" w:rsidRDefault="00462FDA" w:rsidP="001B0B79">
            <w:pPr>
              <w:tabs>
                <w:tab w:val="left" w:pos="0"/>
                <w:tab w:val="left" w:pos="900"/>
              </w:tabs>
              <w:rPr>
                <w:i/>
                <w:sz w:val="24"/>
              </w:rPr>
            </w:pPr>
            <w:r w:rsidRPr="00220FCC">
              <w:rPr>
                <w:i/>
                <w:sz w:val="24"/>
              </w:rPr>
              <w:t>How</w:t>
            </w:r>
            <w:r>
              <w:rPr>
                <w:i/>
                <w:sz w:val="24"/>
              </w:rPr>
              <w:t>?</w:t>
            </w:r>
          </w:p>
        </w:tc>
        <w:tc>
          <w:tcPr>
            <w:tcW w:w="3656" w:type="dxa"/>
          </w:tcPr>
          <w:p w:rsidR="00462FDA" w:rsidRPr="00220FCC" w:rsidRDefault="00462FDA" w:rsidP="001B0B79">
            <w:pPr>
              <w:tabs>
                <w:tab w:val="left" w:pos="0"/>
                <w:tab w:val="left" w:pos="900"/>
              </w:tabs>
              <w:rPr>
                <w:i/>
                <w:sz w:val="24"/>
              </w:rPr>
            </w:pPr>
            <w:r>
              <w:rPr>
                <w:i/>
                <w:sz w:val="24"/>
              </w:rPr>
              <w:t>What did we learn?</w:t>
            </w:r>
          </w:p>
        </w:tc>
        <w:tc>
          <w:tcPr>
            <w:tcW w:w="3787" w:type="dxa"/>
          </w:tcPr>
          <w:p w:rsidR="00462FDA" w:rsidRDefault="00462FDA" w:rsidP="001B0B79">
            <w:pPr>
              <w:tabs>
                <w:tab w:val="left" w:pos="0"/>
                <w:tab w:val="left" w:pos="900"/>
              </w:tabs>
              <w:rPr>
                <w:i/>
                <w:sz w:val="24"/>
              </w:rPr>
            </w:pPr>
            <w:r>
              <w:rPr>
                <w:i/>
                <w:sz w:val="24"/>
              </w:rPr>
              <w:t>What did we do?</w:t>
            </w:r>
          </w:p>
        </w:tc>
      </w:tr>
      <w:tr w:rsidR="00462FDA" w:rsidRPr="00C816B2" w:rsidTr="00462FDA">
        <w:trPr>
          <w:trHeight w:val="2586"/>
        </w:trPr>
        <w:tc>
          <w:tcPr>
            <w:tcW w:w="2718" w:type="dxa"/>
            <w:vMerge w:val="restart"/>
          </w:tcPr>
          <w:p w:rsidR="00462FDA" w:rsidRDefault="00462FDA" w:rsidP="00620E6D">
            <w:pPr>
              <w:tabs>
                <w:tab w:val="left" w:pos="0"/>
                <w:tab w:val="left" w:pos="900"/>
              </w:tabs>
              <w:jc w:val="both"/>
              <w:rPr>
                <w:sz w:val="24"/>
              </w:rPr>
            </w:pPr>
            <w:r w:rsidRPr="00396AF4">
              <w:rPr>
                <w:sz w:val="24"/>
              </w:rPr>
              <w:t>The quantitative literac</w:t>
            </w:r>
            <w:r>
              <w:rPr>
                <w:sz w:val="24"/>
              </w:rPr>
              <w:t xml:space="preserve">y (QL) of our incoming students, </w:t>
            </w:r>
            <w:proofErr w:type="gramStart"/>
            <w:r>
              <w:rPr>
                <w:sz w:val="24"/>
              </w:rPr>
              <w:t xml:space="preserve">specifically  </w:t>
            </w:r>
            <w:r w:rsidRPr="00396AF4">
              <w:rPr>
                <w:sz w:val="24"/>
              </w:rPr>
              <w:t>our</w:t>
            </w:r>
            <w:proofErr w:type="gramEnd"/>
            <w:r w:rsidRPr="00396AF4">
              <w:rPr>
                <w:sz w:val="24"/>
              </w:rPr>
              <w:t xml:space="preserve"> </w:t>
            </w:r>
            <w:r>
              <w:rPr>
                <w:sz w:val="24"/>
              </w:rPr>
              <w:t>incoming students’ aptitudes,</w:t>
            </w:r>
            <w:r w:rsidRPr="00396AF4">
              <w:rPr>
                <w:sz w:val="24"/>
              </w:rPr>
              <w:t xml:space="preserve"> w</w:t>
            </w:r>
            <w:r>
              <w:rPr>
                <w:sz w:val="24"/>
              </w:rPr>
              <w:t>eaknesses, and attitudes.</w:t>
            </w:r>
          </w:p>
        </w:tc>
        <w:tc>
          <w:tcPr>
            <w:tcW w:w="4590" w:type="dxa"/>
          </w:tcPr>
          <w:p w:rsidR="00462FDA" w:rsidRDefault="00462FDA" w:rsidP="008F2EFF">
            <w:pPr>
              <w:tabs>
                <w:tab w:val="left" w:pos="0"/>
                <w:tab w:val="left" w:pos="900"/>
              </w:tabs>
              <w:jc w:val="both"/>
              <w:rPr>
                <w:sz w:val="24"/>
              </w:rPr>
            </w:pPr>
            <w:r>
              <w:rPr>
                <w:sz w:val="24"/>
              </w:rPr>
              <w:t xml:space="preserve">The Bowdoin College-developed Quantitative Literacy Reasoning Assessment (QLRA) test was administered to incoming first year and transfer students in order to assess their quantitative literacy competency and attitudes towards quantitative literacy. </w:t>
            </w:r>
          </w:p>
        </w:tc>
        <w:tc>
          <w:tcPr>
            <w:tcW w:w="3656" w:type="dxa"/>
          </w:tcPr>
          <w:p w:rsidR="00462FDA" w:rsidRPr="00626577" w:rsidRDefault="00462FDA" w:rsidP="008F2EFF">
            <w:pPr>
              <w:tabs>
                <w:tab w:val="left" w:pos="180"/>
                <w:tab w:val="left" w:pos="630"/>
              </w:tabs>
              <w:jc w:val="both"/>
              <w:rPr>
                <w:sz w:val="24"/>
              </w:rPr>
            </w:pPr>
            <w:r w:rsidRPr="00626577">
              <w:rPr>
                <w:sz w:val="24"/>
              </w:rPr>
              <w:t>Our incoming students’ quantitative literacy abilities exhibit a bimodal distribution</w:t>
            </w:r>
            <w:r>
              <w:rPr>
                <w:sz w:val="24"/>
              </w:rPr>
              <w:t xml:space="preserve">.  </w:t>
            </w:r>
            <w:r w:rsidRPr="00626577">
              <w:rPr>
                <w:sz w:val="24"/>
              </w:rPr>
              <w:t>Both the proportion of students in the lower distribution and the aggregate mean score indicate our student population possesses quantitative literacy and reasoning aptitudes intermediate between those of their peers at selective and non-selective four-year schools. Incoming students exhibit greater proficiency with general skills like rounding but more poorly on specific skills like working with percentages, reading graphs, and algebra.</w:t>
            </w:r>
          </w:p>
          <w:p w:rsidR="00462FDA" w:rsidRPr="00C816B2" w:rsidRDefault="00462FDA" w:rsidP="008F2EFF">
            <w:pPr>
              <w:tabs>
                <w:tab w:val="left" w:pos="0"/>
                <w:tab w:val="left" w:pos="900"/>
              </w:tabs>
              <w:jc w:val="both"/>
              <w:rPr>
                <w:sz w:val="24"/>
                <w:highlight w:val="yellow"/>
              </w:rPr>
            </w:pPr>
          </w:p>
        </w:tc>
        <w:tc>
          <w:tcPr>
            <w:tcW w:w="3787" w:type="dxa"/>
          </w:tcPr>
          <w:p w:rsidR="00462FDA" w:rsidRPr="00C816B2" w:rsidRDefault="00462FDA" w:rsidP="00023541">
            <w:pPr>
              <w:tabs>
                <w:tab w:val="left" w:pos="0"/>
                <w:tab w:val="left" w:pos="900"/>
              </w:tabs>
              <w:jc w:val="both"/>
              <w:rPr>
                <w:sz w:val="24"/>
                <w:highlight w:val="yellow"/>
              </w:rPr>
            </w:pPr>
            <w:r>
              <w:rPr>
                <w:sz w:val="24"/>
              </w:rPr>
              <w:t>These findings were presented to the GE committee, academic senate, and full faculty.   Although our ultimate course of action is pending GE committee, senate, and whole faculty discussion of the entire set of QAR assessment results, the current recommendation is that faculty be encouraged to redress the identified student weaknesses in their courses as they are able.  Otherwise more action is not recommended at this time since the senior-first year comparison indicates that our students already exhibit considerable improvement in the areas of greatest deficiency.</w:t>
            </w:r>
          </w:p>
        </w:tc>
      </w:tr>
      <w:tr w:rsidR="00462FDA" w:rsidRPr="00C816B2" w:rsidTr="00462FDA">
        <w:trPr>
          <w:trHeight w:val="2586"/>
        </w:trPr>
        <w:tc>
          <w:tcPr>
            <w:tcW w:w="2718" w:type="dxa"/>
            <w:vMerge/>
          </w:tcPr>
          <w:p w:rsidR="00462FDA" w:rsidRPr="00396AF4" w:rsidRDefault="00462FDA" w:rsidP="008F2EFF">
            <w:pPr>
              <w:tabs>
                <w:tab w:val="left" w:pos="0"/>
                <w:tab w:val="left" w:pos="900"/>
              </w:tabs>
              <w:jc w:val="both"/>
              <w:rPr>
                <w:sz w:val="24"/>
              </w:rPr>
            </w:pPr>
          </w:p>
        </w:tc>
        <w:tc>
          <w:tcPr>
            <w:tcW w:w="4590" w:type="dxa"/>
          </w:tcPr>
          <w:p w:rsidR="00462FDA" w:rsidRDefault="00462FDA" w:rsidP="008F2EFF">
            <w:pPr>
              <w:tabs>
                <w:tab w:val="left" w:pos="0"/>
                <w:tab w:val="left" w:pos="900"/>
              </w:tabs>
              <w:jc w:val="both"/>
              <w:rPr>
                <w:sz w:val="24"/>
              </w:rPr>
            </w:pPr>
            <w:r>
              <w:rPr>
                <w:sz w:val="24"/>
              </w:rPr>
              <w:t>The attitudinal supplemental questions of the QLRA test were used to determine our incoming students’ attitudes towards quantitative literacy.</w:t>
            </w:r>
          </w:p>
        </w:tc>
        <w:tc>
          <w:tcPr>
            <w:tcW w:w="3656" w:type="dxa"/>
          </w:tcPr>
          <w:p w:rsidR="00462FDA" w:rsidRPr="00626577" w:rsidRDefault="00462FDA" w:rsidP="008F2EFF">
            <w:pPr>
              <w:tabs>
                <w:tab w:val="left" w:pos="180"/>
                <w:tab w:val="left" w:pos="630"/>
              </w:tabs>
              <w:jc w:val="both"/>
              <w:rPr>
                <w:sz w:val="24"/>
              </w:rPr>
            </w:pPr>
            <w:r>
              <w:rPr>
                <w:sz w:val="24"/>
              </w:rPr>
              <w:t>Incoming students exhibited an overall positive attitude towards quantitative literacy, although they were ambivalent about the question asking about the importance of numerical information for most situations.</w:t>
            </w:r>
          </w:p>
        </w:tc>
        <w:tc>
          <w:tcPr>
            <w:tcW w:w="3787" w:type="dxa"/>
          </w:tcPr>
          <w:p w:rsidR="00462FDA" w:rsidRDefault="00462FDA" w:rsidP="0012285F">
            <w:pPr>
              <w:tabs>
                <w:tab w:val="left" w:pos="0"/>
                <w:tab w:val="left" w:pos="900"/>
              </w:tabs>
              <w:jc w:val="both"/>
              <w:rPr>
                <w:sz w:val="24"/>
              </w:rPr>
            </w:pPr>
            <w:r>
              <w:rPr>
                <w:sz w:val="24"/>
              </w:rPr>
              <w:t>Although our ultimate course of action is pending GE committee, senate, and whole faculty discussion of the QAR assessment results, the current recommendation is that no action be taken at this time, especially given the vagueness of the question about numerical information’s usefulness for “most situations” and the importance of both quantitative and non-quantitative modes of reasoning for decision making.</w:t>
            </w:r>
          </w:p>
        </w:tc>
      </w:tr>
    </w:tbl>
    <w:p w:rsidR="00626577" w:rsidRDefault="00626577" w:rsidP="00220FCC">
      <w:pPr>
        <w:tabs>
          <w:tab w:val="left" w:pos="0"/>
          <w:tab w:val="left" w:pos="900"/>
        </w:tabs>
        <w:rPr>
          <w:b/>
          <w:sz w:val="24"/>
        </w:rPr>
      </w:pPr>
    </w:p>
    <w:p w:rsidR="00620E6D" w:rsidRDefault="00620E6D" w:rsidP="00220FCC">
      <w:pPr>
        <w:tabs>
          <w:tab w:val="left" w:pos="0"/>
          <w:tab w:val="left" w:pos="900"/>
        </w:tabs>
        <w:rPr>
          <w:b/>
          <w:sz w:val="24"/>
        </w:rPr>
      </w:pPr>
      <w:r>
        <w:rPr>
          <w:b/>
          <w:sz w:val="24"/>
        </w:rPr>
        <w:t xml:space="preserve">Table 1 (continued).   </w:t>
      </w:r>
      <w:r>
        <w:rPr>
          <w:sz w:val="24"/>
        </w:rPr>
        <w:t>Summary of aspects of quantitative literacy that were or will be assessed in the 2015-16 QL ILO assessment.</w:t>
      </w:r>
    </w:p>
    <w:tbl>
      <w:tblPr>
        <w:tblStyle w:val="TableGrid"/>
        <w:tblW w:w="0" w:type="auto"/>
        <w:tblLook w:val="04A0" w:firstRow="1" w:lastRow="0" w:firstColumn="1" w:lastColumn="0" w:noHBand="0" w:noVBand="1"/>
      </w:tblPr>
      <w:tblGrid>
        <w:gridCol w:w="2448"/>
        <w:gridCol w:w="2970"/>
        <w:gridCol w:w="4050"/>
        <w:gridCol w:w="5047"/>
      </w:tblGrid>
      <w:tr w:rsidR="00462FDA" w:rsidRPr="00C816B2" w:rsidTr="00462FDA">
        <w:trPr>
          <w:trHeight w:val="629"/>
        </w:trPr>
        <w:tc>
          <w:tcPr>
            <w:tcW w:w="2448" w:type="dxa"/>
          </w:tcPr>
          <w:p w:rsidR="00462FDA" w:rsidRDefault="00462FDA" w:rsidP="001B0B79">
            <w:pPr>
              <w:tabs>
                <w:tab w:val="left" w:pos="0"/>
                <w:tab w:val="left" w:pos="900"/>
              </w:tabs>
              <w:jc w:val="both"/>
              <w:rPr>
                <w:i/>
                <w:sz w:val="24"/>
              </w:rPr>
            </w:pPr>
            <w:r w:rsidRPr="00220FCC">
              <w:rPr>
                <w:i/>
                <w:sz w:val="24"/>
              </w:rPr>
              <w:t>What will be assessed?</w:t>
            </w:r>
          </w:p>
          <w:p w:rsidR="00462FDA" w:rsidRPr="00396AF4" w:rsidRDefault="00462FDA" w:rsidP="001B0B79">
            <w:pPr>
              <w:tabs>
                <w:tab w:val="left" w:pos="0"/>
                <w:tab w:val="left" w:pos="900"/>
              </w:tabs>
              <w:jc w:val="both"/>
              <w:rPr>
                <w:sz w:val="24"/>
              </w:rPr>
            </w:pPr>
            <w:r>
              <w:rPr>
                <w:i/>
                <w:sz w:val="24"/>
              </w:rPr>
              <w:t>(continued)</w:t>
            </w:r>
          </w:p>
        </w:tc>
        <w:tc>
          <w:tcPr>
            <w:tcW w:w="2970" w:type="dxa"/>
          </w:tcPr>
          <w:p w:rsidR="00462FDA" w:rsidRPr="00220FCC" w:rsidRDefault="00462FDA" w:rsidP="001B0B79">
            <w:pPr>
              <w:tabs>
                <w:tab w:val="left" w:pos="0"/>
                <w:tab w:val="left" w:pos="900"/>
              </w:tabs>
              <w:rPr>
                <w:i/>
                <w:sz w:val="24"/>
              </w:rPr>
            </w:pPr>
            <w:r w:rsidRPr="00220FCC">
              <w:rPr>
                <w:i/>
                <w:sz w:val="24"/>
              </w:rPr>
              <w:t>How</w:t>
            </w:r>
            <w:r>
              <w:rPr>
                <w:i/>
                <w:sz w:val="24"/>
              </w:rPr>
              <w:t>?</w:t>
            </w:r>
          </w:p>
        </w:tc>
        <w:tc>
          <w:tcPr>
            <w:tcW w:w="4050" w:type="dxa"/>
          </w:tcPr>
          <w:p w:rsidR="00462FDA" w:rsidRPr="00220FCC" w:rsidRDefault="00462FDA" w:rsidP="001B0B79">
            <w:pPr>
              <w:tabs>
                <w:tab w:val="left" w:pos="0"/>
                <w:tab w:val="left" w:pos="900"/>
              </w:tabs>
              <w:rPr>
                <w:i/>
                <w:sz w:val="24"/>
              </w:rPr>
            </w:pPr>
            <w:r>
              <w:rPr>
                <w:i/>
                <w:sz w:val="24"/>
              </w:rPr>
              <w:t>What did we learn?</w:t>
            </w:r>
          </w:p>
        </w:tc>
        <w:tc>
          <w:tcPr>
            <w:tcW w:w="5047" w:type="dxa"/>
          </w:tcPr>
          <w:p w:rsidR="00462FDA" w:rsidRDefault="00462FDA" w:rsidP="001B0B79">
            <w:pPr>
              <w:tabs>
                <w:tab w:val="left" w:pos="0"/>
                <w:tab w:val="left" w:pos="900"/>
              </w:tabs>
              <w:rPr>
                <w:i/>
                <w:sz w:val="24"/>
              </w:rPr>
            </w:pPr>
            <w:r>
              <w:rPr>
                <w:i/>
                <w:sz w:val="24"/>
              </w:rPr>
              <w:t>What did we do?</w:t>
            </w:r>
          </w:p>
        </w:tc>
      </w:tr>
      <w:tr w:rsidR="00462FDA" w:rsidRPr="00C816B2" w:rsidTr="00462FDA">
        <w:trPr>
          <w:trHeight w:val="902"/>
        </w:trPr>
        <w:tc>
          <w:tcPr>
            <w:tcW w:w="2448" w:type="dxa"/>
            <w:vMerge w:val="restart"/>
          </w:tcPr>
          <w:p w:rsidR="00462FDA" w:rsidRPr="00620E6D" w:rsidRDefault="00462FDA" w:rsidP="00620E6D">
            <w:pPr>
              <w:tabs>
                <w:tab w:val="left" w:pos="0"/>
                <w:tab w:val="left" w:pos="900"/>
              </w:tabs>
              <w:jc w:val="both"/>
              <w:rPr>
                <w:sz w:val="24"/>
              </w:rPr>
            </w:pPr>
            <w:r>
              <w:rPr>
                <w:sz w:val="24"/>
              </w:rPr>
              <w:t>How effective is QL education in Westmont’s curriculum, both in terms of i</w:t>
            </w:r>
            <w:r w:rsidRPr="00620E6D">
              <w:rPr>
                <w:sz w:val="24"/>
              </w:rPr>
              <w:t>ndividual courses</w:t>
            </w:r>
            <w:r>
              <w:rPr>
                <w:sz w:val="24"/>
              </w:rPr>
              <w:t xml:space="preserve"> and a </w:t>
            </w:r>
            <w:r w:rsidRPr="00620E6D">
              <w:rPr>
                <w:sz w:val="24"/>
              </w:rPr>
              <w:t>Westmont education as a whole</w:t>
            </w:r>
            <w:r>
              <w:rPr>
                <w:sz w:val="24"/>
              </w:rPr>
              <w:t>.</w:t>
            </w:r>
          </w:p>
        </w:tc>
        <w:tc>
          <w:tcPr>
            <w:tcW w:w="2970" w:type="dxa"/>
          </w:tcPr>
          <w:p w:rsidR="00462FDA" w:rsidRDefault="00462FDA" w:rsidP="008F2EFF">
            <w:pPr>
              <w:tabs>
                <w:tab w:val="left" w:pos="0"/>
                <w:tab w:val="left" w:pos="900"/>
              </w:tabs>
              <w:jc w:val="both"/>
              <w:rPr>
                <w:sz w:val="24"/>
              </w:rPr>
            </w:pPr>
            <w:r w:rsidRPr="00220FCC">
              <w:rPr>
                <w:sz w:val="24"/>
              </w:rPr>
              <w:t xml:space="preserve">The effectiveness of a Westmont education as a whole in promoting quantitative literacy was assessed by administering the QLRA to seniors in January 2016 and comparing the results with those for incoming students. </w:t>
            </w:r>
          </w:p>
        </w:tc>
        <w:tc>
          <w:tcPr>
            <w:tcW w:w="4050" w:type="dxa"/>
          </w:tcPr>
          <w:p w:rsidR="00462FDA" w:rsidRPr="00462FDA" w:rsidRDefault="00462FDA" w:rsidP="00894147">
            <w:pPr>
              <w:tabs>
                <w:tab w:val="left" w:pos="0"/>
                <w:tab w:val="left" w:pos="900"/>
              </w:tabs>
              <w:jc w:val="both"/>
              <w:rPr>
                <w:bCs/>
                <w:sz w:val="24"/>
                <w:szCs w:val="24"/>
              </w:rPr>
            </w:pPr>
            <w:r w:rsidRPr="005043A3">
              <w:rPr>
                <w:sz w:val="24"/>
                <w:szCs w:val="24"/>
              </w:rPr>
              <w:t>Overall, seniors did considerably better than incoming students</w:t>
            </w:r>
            <w:r>
              <w:rPr>
                <w:sz w:val="24"/>
                <w:szCs w:val="24"/>
              </w:rPr>
              <w:t xml:space="preserve"> </w:t>
            </w:r>
            <w:r w:rsidRPr="005043A3">
              <w:rPr>
                <w:bCs/>
                <w:sz w:val="24"/>
                <w:szCs w:val="24"/>
              </w:rPr>
              <w:t>and exhibited improvements in most skill categories.  The largest increases occurred for students’ ability to use algebra, interpret pie charts, understand verbally represented problems, work with percentages, interpret tables, and engage in proportional reasoning.  A small decrease was observed for students’ ability to use histograms.</w:t>
            </w:r>
            <w:r>
              <w:rPr>
                <w:bCs/>
                <w:sz w:val="24"/>
                <w:szCs w:val="24"/>
              </w:rPr>
              <w:t xml:space="preserve"> </w:t>
            </w:r>
          </w:p>
        </w:tc>
        <w:tc>
          <w:tcPr>
            <w:tcW w:w="5047" w:type="dxa"/>
          </w:tcPr>
          <w:p w:rsidR="00462FDA" w:rsidRDefault="00462FDA" w:rsidP="00894147">
            <w:pPr>
              <w:tabs>
                <w:tab w:val="left" w:pos="0"/>
                <w:tab w:val="left" w:pos="900"/>
              </w:tabs>
              <w:jc w:val="both"/>
              <w:rPr>
                <w:sz w:val="24"/>
                <w:highlight w:val="yellow"/>
              </w:rPr>
            </w:pPr>
            <w:r w:rsidRPr="005043A3">
              <w:rPr>
                <w:sz w:val="24"/>
                <w:shd w:val="clear" w:color="auto" w:fill="FFFFFF" w:themeFill="background1"/>
              </w:rPr>
              <w:t>This is unsurprising, given that most of the courses that Westmont students use to complete the QAR GE fall in the areas of physical science, calculus, discrete mathematics, and computer science and do not feature extensive use of histograms.</w:t>
            </w:r>
            <w:r>
              <w:rPr>
                <w:bCs/>
                <w:sz w:val="24"/>
                <w:szCs w:val="24"/>
              </w:rPr>
              <w:t xml:space="preserve">  These findings will be discussed with the </w:t>
            </w:r>
            <w:r>
              <w:rPr>
                <w:sz w:val="24"/>
              </w:rPr>
              <w:t xml:space="preserve">GE committee, senate, and whole faculty discussion in order to determine what actions, if any, are needed to redress our students’ loss of aptitude in interpreting histogram data. </w:t>
            </w:r>
          </w:p>
          <w:p w:rsidR="00462FDA" w:rsidRPr="00C816B2" w:rsidRDefault="00462FDA" w:rsidP="008F2EFF">
            <w:pPr>
              <w:tabs>
                <w:tab w:val="left" w:pos="0"/>
                <w:tab w:val="left" w:pos="900"/>
              </w:tabs>
              <w:jc w:val="both"/>
              <w:rPr>
                <w:sz w:val="24"/>
                <w:highlight w:val="yellow"/>
              </w:rPr>
            </w:pPr>
          </w:p>
        </w:tc>
      </w:tr>
      <w:tr w:rsidR="00462FDA" w:rsidRPr="00C816B2" w:rsidTr="00462FDA">
        <w:trPr>
          <w:trHeight w:val="901"/>
        </w:trPr>
        <w:tc>
          <w:tcPr>
            <w:tcW w:w="2448" w:type="dxa"/>
            <w:vMerge/>
          </w:tcPr>
          <w:p w:rsidR="00462FDA" w:rsidRDefault="00462FDA" w:rsidP="008F2EFF">
            <w:pPr>
              <w:tabs>
                <w:tab w:val="left" w:pos="0"/>
                <w:tab w:val="left" w:pos="900"/>
              </w:tabs>
              <w:jc w:val="both"/>
              <w:rPr>
                <w:sz w:val="24"/>
              </w:rPr>
            </w:pPr>
          </w:p>
        </w:tc>
        <w:tc>
          <w:tcPr>
            <w:tcW w:w="2970" w:type="dxa"/>
          </w:tcPr>
          <w:p w:rsidR="00462FDA" w:rsidRPr="006C542F" w:rsidRDefault="00462FDA" w:rsidP="008F2EFF">
            <w:pPr>
              <w:tabs>
                <w:tab w:val="left" w:pos="0"/>
                <w:tab w:val="left" w:pos="900"/>
              </w:tabs>
              <w:jc w:val="both"/>
              <w:rPr>
                <w:sz w:val="24"/>
              </w:rPr>
            </w:pPr>
            <w:r w:rsidRPr="006C542F">
              <w:rPr>
                <w:sz w:val="24"/>
              </w:rPr>
              <w:t>The effectiveness of individual courses was determined by pre- &amp; post- course assessment of students enrolled in courses meeting the QAR GE requirement in the fall of 2015.</w:t>
            </w:r>
          </w:p>
        </w:tc>
        <w:tc>
          <w:tcPr>
            <w:tcW w:w="4050" w:type="dxa"/>
          </w:tcPr>
          <w:p w:rsidR="00462FDA" w:rsidRPr="006C542F" w:rsidRDefault="00462FDA" w:rsidP="00462FDA">
            <w:pPr>
              <w:tabs>
                <w:tab w:val="left" w:pos="0"/>
                <w:tab w:val="left" w:pos="900"/>
              </w:tabs>
              <w:jc w:val="both"/>
              <w:rPr>
                <w:sz w:val="24"/>
              </w:rPr>
            </w:pPr>
            <w:r w:rsidRPr="006C542F">
              <w:rPr>
                <w:sz w:val="24"/>
              </w:rPr>
              <w:t xml:space="preserve">The pre- and post- course data for fall 2015 QAR GE courses is still being assessed.  Preliminary indications are that students did marginally better after completing a QAR GE course but that the data </w:t>
            </w:r>
            <w:r>
              <w:rPr>
                <w:sz w:val="24"/>
              </w:rPr>
              <w:t>may be</w:t>
            </w:r>
            <w:r w:rsidRPr="006C542F">
              <w:rPr>
                <w:sz w:val="24"/>
              </w:rPr>
              <w:t xml:space="preserve"> marred by a significant number of “randomly completed” QLRA tests.</w:t>
            </w:r>
          </w:p>
        </w:tc>
        <w:tc>
          <w:tcPr>
            <w:tcW w:w="5047" w:type="dxa"/>
          </w:tcPr>
          <w:p w:rsidR="00462FDA" w:rsidRPr="006C542F" w:rsidRDefault="00462FDA" w:rsidP="00BC26F9">
            <w:pPr>
              <w:tabs>
                <w:tab w:val="left" w:pos="0"/>
                <w:tab w:val="left" w:pos="900"/>
              </w:tabs>
              <w:jc w:val="both"/>
              <w:rPr>
                <w:sz w:val="24"/>
              </w:rPr>
            </w:pPr>
            <w:r w:rsidRPr="006C542F">
              <w:rPr>
                <w:sz w:val="24"/>
              </w:rPr>
              <w:t xml:space="preserve">This issue should be revisited in a future round of assessment in which students are (a) asked to complete the post-course QLRA assessment over winter break rather than during the busy period at the end of the semester and (b) offered financial incentives for good faith completion of the QLRA, perhaps by holding an amazon gift card drawing similar to that used in the senior assessment. </w:t>
            </w:r>
          </w:p>
        </w:tc>
      </w:tr>
      <w:tr w:rsidR="00462FDA" w:rsidRPr="00C816B2" w:rsidTr="00462FDA">
        <w:trPr>
          <w:trHeight w:val="901"/>
        </w:trPr>
        <w:tc>
          <w:tcPr>
            <w:tcW w:w="2448" w:type="dxa"/>
            <w:vMerge/>
          </w:tcPr>
          <w:p w:rsidR="00462FDA" w:rsidRDefault="00462FDA" w:rsidP="008F2EFF">
            <w:pPr>
              <w:tabs>
                <w:tab w:val="left" w:pos="0"/>
                <w:tab w:val="left" w:pos="900"/>
              </w:tabs>
              <w:jc w:val="both"/>
              <w:rPr>
                <w:sz w:val="24"/>
              </w:rPr>
            </w:pPr>
          </w:p>
        </w:tc>
        <w:tc>
          <w:tcPr>
            <w:tcW w:w="2970" w:type="dxa"/>
          </w:tcPr>
          <w:p w:rsidR="00462FDA" w:rsidRPr="006C542F" w:rsidRDefault="00462FDA" w:rsidP="008F2EFF">
            <w:pPr>
              <w:tabs>
                <w:tab w:val="left" w:pos="0"/>
                <w:tab w:val="left" w:pos="900"/>
              </w:tabs>
              <w:jc w:val="both"/>
              <w:rPr>
                <w:sz w:val="24"/>
              </w:rPr>
            </w:pPr>
            <w:r w:rsidRPr="006C542F">
              <w:rPr>
                <w:sz w:val="24"/>
              </w:rPr>
              <w:t>The impact of a Westmont education on students’ attitudes towards quantitative literacy was assessed using the supplemental questions on the QAR exam.</w:t>
            </w:r>
          </w:p>
        </w:tc>
        <w:tc>
          <w:tcPr>
            <w:tcW w:w="4050" w:type="dxa"/>
          </w:tcPr>
          <w:p w:rsidR="00462FDA" w:rsidRPr="006C542F" w:rsidRDefault="00462FDA" w:rsidP="00FA5BAB">
            <w:pPr>
              <w:tabs>
                <w:tab w:val="left" w:pos="180"/>
                <w:tab w:val="left" w:pos="630"/>
              </w:tabs>
              <w:jc w:val="both"/>
              <w:rPr>
                <w:sz w:val="24"/>
              </w:rPr>
            </w:pPr>
            <w:r w:rsidRPr="006C542F">
              <w:rPr>
                <w:sz w:val="24"/>
              </w:rPr>
              <w:t xml:space="preserve">Comparison of senior and incoming student data revealed that </w:t>
            </w:r>
            <w:r>
              <w:rPr>
                <w:sz w:val="24"/>
              </w:rPr>
              <w:t xml:space="preserve">both exhibited very </w:t>
            </w:r>
            <w:r w:rsidRPr="006C542F">
              <w:rPr>
                <w:sz w:val="24"/>
              </w:rPr>
              <w:t>positive attitudes towards quantitative literacy</w:t>
            </w:r>
            <w:r>
              <w:rPr>
                <w:sz w:val="24"/>
              </w:rPr>
              <w:t>.  However, senior attitudes tended to be slightly more positive overall, in part because fewer exhibited strongly negative attitudes towards quantitative literacy.</w:t>
            </w:r>
          </w:p>
        </w:tc>
        <w:tc>
          <w:tcPr>
            <w:tcW w:w="5047" w:type="dxa"/>
          </w:tcPr>
          <w:p w:rsidR="00462FDA" w:rsidRPr="006C542F" w:rsidRDefault="00462FDA" w:rsidP="008F2EFF">
            <w:pPr>
              <w:tabs>
                <w:tab w:val="left" w:pos="0"/>
                <w:tab w:val="left" w:pos="900"/>
              </w:tabs>
              <w:jc w:val="both"/>
              <w:rPr>
                <w:sz w:val="24"/>
              </w:rPr>
            </w:pPr>
            <w:r w:rsidRPr="006C542F">
              <w:rPr>
                <w:sz w:val="24"/>
              </w:rPr>
              <w:t xml:space="preserve">While our ultimate course of action is pending GE committee, senate, and whole faculty discussion of the QAR assessment results, the consensus so far is that the increase in </w:t>
            </w:r>
            <w:r>
              <w:rPr>
                <w:sz w:val="24"/>
              </w:rPr>
              <w:t xml:space="preserve">overall </w:t>
            </w:r>
            <w:r w:rsidRPr="006C542F">
              <w:rPr>
                <w:sz w:val="24"/>
              </w:rPr>
              <w:t>student appreciation of quantitative reasoning is adequate, especially that a liberal arts education appropriately stresses the importance of both numerical and non-numerical information</w:t>
            </w:r>
            <w:r>
              <w:rPr>
                <w:sz w:val="24"/>
              </w:rPr>
              <w:t xml:space="preserve"> and methodologies</w:t>
            </w:r>
            <w:r w:rsidRPr="006C542F">
              <w:rPr>
                <w:sz w:val="24"/>
              </w:rPr>
              <w:t>.</w:t>
            </w:r>
          </w:p>
        </w:tc>
      </w:tr>
    </w:tbl>
    <w:p w:rsidR="00620E6D" w:rsidRDefault="00620E6D" w:rsidP="00220FCC">
      <w:pPr>
        <w:tabs>
          <w:tab w:val="left" w:pos="0"/>
          <w:tab w:val="left" w:pos="900"/>
        </w:tabs>
        <w:rPr>
          <w:b/>
          <w:sz w:val="24"/>
        </w:rPr>
        <w:sectPr w:rsidR="00620E6D" w:rsidSect="00CB45EE">
          <w:pgSz w:w="15840" w:h="12240" w:orient="landscape"/>
          <w:pgMar w:top="720" w:right="720" w:bottom="720" w:left="821" w:header="720" w:footer="720" w:gutter="0"/>
          <w:cols w:space="720"/>
          <w:docGrid w:linePitch="360"/>
        </w:sectPr>
      </w:pPr>
    </w:p>
    <w:p w:rsidR="00396AF4" w:rsidRDefault="006C542F" w:rsidP="006E20C2">
      <w:pPr>
        <w:tabs>
          <w:tab w:val="left" w:pos="180"/>
          <w:tab w:val="left" w:pos="630"/>
        </w:tabs>
        <w:spacing w:after="0"/>
        <w:jc w:val="both"/>
        <w:rPr>
          <w:b/>
          <w:sz w:val="24"/>
        </w:rPr>
      </w:pPr>
      <w:r>
        <w:rPr>
          <w:b/>
          <w:sz w:val="24"/>
        </w:rPr>
        <w:lastRenderedPageBreak/>
        <w:t>Additional notes about w</w:t>
      </w:r>
      <w:r w:rsidR="00396AF4" w:rsidRPr="00396AF4">
        <w:rPr>
          <w:b/>
          <w:sz w:val="24"/>
        </w:rPr>
        <w:t xml:space="preserve">hat </w:t>
      </w:r>
      <w:r>
        <w:rPr>
          <w:b/>
          <w:sz w:val="24"/>
        </w:rPr>
        <w:t>we have we learned so far…</w:t>
      </w:r>
    </w:p>
    <w:p w:rsidR="003F1C26" w:rsidRPr="003F1C26" w:rsidRDefault="003F1C26" w:rsidP="006E20C2">
      <w:pPr>
        <w:tabs>
          <w:tab w:val="left" w:pos="180"/>
          <w:tab w:val="left" w:pos="630"/>
        </w:tabs>
        <w:spacing w:after="0"/>
        <w:jc w:val="both"/>
        <w:rPr>
          <w:b/>
          <w:sz w:val="8"/>
        </w:rPr>
      </w:pPr>
    </w:p>
    <w:p w:rsidR="00174EF7" w:rsidRDefault="00174EF7" w:rsidP="006E20C2">
      <w:pPr>
        <w:tabs>
          <w:tab w:val="left" w:pos="180"/>
          <w:tab w:val="left" w:pos="630"/>
        </w:tabs>
        <w:spacing w:after="0" w:line="240" w:lineRule="auto"/>
        <w:ind w:firstLine="270"/>
        <w:jc w:val="both"/>
        <w:rPr>
          <w:i/>
          <w:sz w:val="24"/>
        </w:rPr>
      </w:pPr>
      <w:r w:rsidRPr="00174EF7">
        <w:rPr>
          <w:i/>
          <w:sz w:val="24"/>
        </w:rPr>
        <w:t>…about the scope and adequacy of QL education at Westmont</w:t>
      </w:r>
    </w:p>
    <w:p w:rsidR="00174EF7" w:rsidRPr="008729A7" w:rsidRDefault="00174EF7" w:rsidP="006E20C2">
      <w:pPr>
        <w:tabs>
          <w:tab w:val="left" w:pos="180"/>
          <w:tab w:val="left" w:pos="630"/>
        </w:tabs>
        <w:spacing w:after="0" w:line="240" w:lineRule="auto"/>
        <w:ind w:firstLine="270"/>
        <w:jc w:val="both"/>
        <w:rPr>
          <w:b/>
          <w:i/>
          <w:sz w:val="10"/>
          <w:szCs w:val="16"/>
        </w:rPr>
      </w:pPr>
    </w:p>
    <w:p w:rsidR="00EE031A" w:rsidRPr="00174EF7" w:rsidRDefault="00EE031A" w:rsidP="006E20C2">
      <w:pPr>
        <w:pStyle w:val="ListParagraph"/>
        <w:numPr>
          <w:ilvl w:val="0"/>
          <w:numId w:val="7"/>
        </w:numPr>
        <w:tabs>
          <w:tab w:val="left" w:pos="180"/>
          <w:tab w:val="left" w:pos="630"/>
        </w:tabs>
        <w:spacing w:after="0" w:line="240" w:lineRule="auto"/>
        <w:ind w:hanging="450"/>
        <w:jc w:val="both"/>
        <w:rPr>
          <w:sz w:val="24"/>
        </w:rPr>
      </w:pPr>
      <w:r w:rsidRPr="00174EF7">
        <w:rPr>
          <w:sz w:val="24"/>
        </w:rPr>
        <w:t>Westmont has 21 QAR GE courses (Appendix 2), of these</w:t>
      </w:r>
    </w:p>
    <w:p w:rsidR="00EE031A" w:rsidRDefault="00EE031A" w:rsidP="006E20C2">
      <w:pPr>
        <w:pStyle w:val="ListParagraph"/>
        <w:numPr>
          <w:ilvl w:val="0"/>
          <w:numId w:val="1"/>
        </w:numPr>
        <w:tabs>
          <w:tab w:val="left" w:pos="180"/>
          <w:tab w:val="left" w:pos="630"/>
          <w:tab w:val="left" w:pos="1170"/>
        </w:tabs>
        <w:spacing w:after="0" w:line="240" w:lineRule="auto"/>
        <w:ind w:left="900" w:hanging="180"/>
        <w:jc w:val="both"/>
        <w:rPr>
          <w:sz w:val="24"/>
        </w:rPr>
      </w:pPr>
      <w:r>
        <w:rPr>
          <w:sz w:val="24"/>
        </w:rPr>
        <w:t>19 are in the natural and behavioral sciences and two in the social sciences</w:t>
      </w:r>
    </w:p>
    <w:p w:rsidR="00EE031A" w:rsidRDefault="00EE031A" w:rsidP="006E20C2">
      <w:pPr>
        <w:pStyle w:val="ListParagraph"/>
        <w:numPr>
          <w:ilvl w:val="0"/>
          <w:numId w:val="1"/>
        </w:numPr>
        <w:tabs>
          <w:tab w:val="left" w:pos="180"/>
          <w:tab w:val="left" w:pos="630"/>
          <w:tab w:val="left" w:pos="1170"/>
        </w:tabs>
        <w:spacing w:after="0" w:line="240" w:lineRule="auto"/>
        <w:ind w:left="900" w:hanging="180"/>
        <w:jc w:val="both"/>
        <w:rPr>
          <w:sz w:val="24"/>
        </w:rPr>
      </w:pPr>
      <w:r>
        <w:rPr>
          <w:sz w:val="24"/>
        </w:rPr>
        <w:t xml:space="preserve">17 are offered during the 2015-16 academic year, sixteen in the </w:t>
      </w:r>
      <w:r w:rsidRPr="004C3777">
        <w:rPr>
          <w:sz w:val="24"/>
        </w:rPr>
        <w:t xml:space="preserve"> </w:t>
      </w:r>
      <w:r>
        <w:rPr>
          <w:sz w:val="24"/>
        </w:rPr>
        <w:t>natural sciences and one in the social sciences</w:t>
      </w:r>
    </w:p>
    <w:p w:rsidR="00EE031A" w:rsidRDefault="00EE031A" w:rsidP="006E20C2">
      <w:pPr>
        <w:pStyle w:val="ListParagraph"/>
        <w:numPr>
          <w:ilvl w:val="0"/>
          <w:numId w:val="1"/>
        </w:numPr>
        <w:tabs>
          <w:tab w:val="left" w:pos="180"/>
          <w:tab w:val="left" w:pos="630"/>
          <w:tab w:val="left" w:pos="1170"/>
        </w:tabs>
        <w:spacing w:after="0" w:line="240" w:lineRule="auto"/>
        <w:ind w:left="900" w:hanging="180"/>
        <w:jc w:val="both"/>
        <w:rPr>
          <w:sz w:val="24"/>
        </w:rPr>
      </w:pPr>
      <w:r>
        <w:rPr>
          <w:sz w:val="24"/>
        </w:rPr>
        <w:t>11 are offered in the fall of 2015; of these seven administered the QLRA assessment as a course pretest.</w:t>
      </w:r>
    </w:p>
    <w:p w:rsidR="00BC35CD" w:rsidRPr="003F1C26" w:rsidRDefault="00BC35CD" w:rsidP="006E20C2">
      <w:pPr>
        <w:pStyle w:val="ListParagraph"/>
        <w:tabs>
          <w:tab w:val="left" w:pos="180"/>
          <w:tab w:val="left" w:pos="630"/>
        </w:tabs>
        <w:spacing w:after="0" w:line="240" w:lineRule="auto"/>
        <w:ind w:left="900" w:hanging="450"/>
        <w:jc w:val="both"/>
        <w:rPr>
          <w:sz w:val="8"/>
        </w:rPr>
      </w:pPr>
    </w:p>
    <w:p w:rsidR="00EE031A" w:rsidRPr="00174EF7" w:rsidRDefault="00BC35CD" w:rsidP="006E20C2">
      <w:pPr>
        <w:pStyle w:val="ListParagraph"/>
        <w:numPr>
          <w:ilvl w:val="0"/>
          <w:numId w:val="7"/>
        </w:numPr>
        <w:tabs>
          <w:tab w:val="left" w:pos="270"/>
          <w:tab w:val="left" w:pos="630"/>
        </w:tabs>
        <w:spacing w:after="0" w:line="240" w:lineRule="auto"/>
        <w:ind w:hanging="450"/>
        <w:jc w:val="both"/>
        <w:rPr>
          <w:sz w:val="24"/>
        </w:rPr>
      </w:pPr>
      <w:r w:rsidRPr="00174EF7">
        <w:rPr>
          <w:sz w:val="24"/>
        </w:rPr>
        <w:t>Westmont students meet the QAR GE requirement</w:t>
      </w:r>
      <w:r w:rsidR="00FF7002">
        <w:rPr>
          <w:sz w:val="24"/>
        </w:rPr>
        <w:t>:</w:t>
      </w:r>
    </w:p>
    <w:p w:rsidR="00EE031A" w:rsidRDefault="00BC35CD" w:rsidP="006E20C2">
      <w:pPr>
        <w:pStyle w:val="ListParagraph"/>
        <w:numPr>
          <w:ilvl w:val="0"/>
          <w:numId w:val="2"/>
        </w:numPr>
        <w:tabs>
          <w:tab w:val="left" w:pos="180"/>
          <w:tab w:val="left" w:pos="630"/>
        </w:tabs>
        <w:spacing w:after="0" w:line="240" w:lineRule="auto"/>
        <w:ind w:left="900" w:hanging="180"/>
        <w:jc w:val="both"/>
        <w:rPr>
          <w:sz w:val="24"/>
        </w:rPr>
      </w:pPr>
      <w:r>
        <w:rPr>
          <w:sz w:val="24"/>
        </w:rPr>
        <w:t>Through a QAR-approved course within their major</w:t>
      </w:r>
      <w:r w:rsidR="00E26963">
        <w:rPr>
          <w:sz w:val="24"/>
        </w:rPr>
        <w:t xml:space="preserve"> (38</w:t>
      </w:r>
      <w:r w:rsidR="00B9455C">
        <w:rPr>
          <w:sz w:val="24"/>
        </w:rPr>
        <w:t>% of students)</w:t>
      </w:r>
      <w:r>
        <w:rPr>
          <w:sz w:val="24"/>
        </w:rPr>
        <w:t xml:space="preserve">:  </w:t>
      </w:r>
      <w:r w:rsidR="00EE031A" w:rsidRPr="00531098">
        <w:rPr>
          <w:sz w:val="24"/>
        </w:rPr>
        <w:t>QAR courses are required as part of the major requirements of 14 Westmont’s 27 majors (Appendix 3).</w:t>
      </w:r>
      <w:r>
        <w:rPr>
          <w:sz w:val="24"/>
        </w:rPr>
        <w:t xml:space="preserve">  </w:t>
      </w:r>
      <w:r w:rsidR="00EE031A" w:rsidRPr="00BC35CD">
        <w:rPr>
          <w:sz w:val="24"/>
        </w:rPr>
        <w:t xml:space="preserve">A survey of the 2015 </w:t>
      </w:r>
      <w:r>
        <w:rPr>
          <w:sz w:val="24"/>
        </w:rPr>
        <w:t>graduates (</w:t>
      </w:r>
      <w:r w:rsidR="00EE031A" w:rsidRPr="00BC35CD">
        <w:rPr>
          <w:sz w:val="24"/>
        </w:rPr>
        <w:t>Appendix 4) indicates that</w:t>
      </w:r>
      <w:r>
        <w:rPr>
          <w:sz w:val="24"/>
        </w:rPr>
        <w:t xml:space="preserve"> </w:t>
      </w:r>
      <w:r w:rsidR="00E26963">
        <w:rPr>
          <w:b/>
          <w:sz w:val="24"/>
        </w:rPr>
        <w:t>38</w:t>
      </w:r>
      <w:r w:rsidR="00EE031A" w:rsidRPr="000B3520">
        <w:rPr>
          <w:b/>
          <w:sz w:val="24"/>
        </w:rPr>
        <w:t>%</w:t>
      </w:r>
      <w:r>
        <w:rPr>
          <w:sz w:val="24"/>
        </w:rPr>
        <w:t xml:space="preserve"> (</w:t>
      </w:r>
      <w:r w:rsidR="00B9455C">
        <w:rPr>
          <w:sz w:val="24"/>
        </w:rPr>
        <w:t>1</w:t>
      </w:r>
      <w:r w:rsidR="00E26963">
        <w:rPr>
          <w:sz w:val="24"/>
        </w:rPr>
        <w:t>18 of 307</w:t>
      </w:r>
      <w:r w:rsidR="000B3520">
        <w:rPr>
          <w:sz w:val="24"/>
        </w:rPr>
        <w:t xml:space="preserve">) </w:t>
      </w:r>
      <w:r w:rsidR="00EE031A" w:rsidRPr="00BC35CD">
        <w:rPr>
          <w:sz w:val="24"/>
        </w:rPr>
        <w:t>completed a major that required one or more QAR courses as part of the major program</w:t>
      </w:r>
      <w:r w:rsidR="000B3520">
        <w:rPr>
          <w:sz w:val="24"/>
        </w:rPr>
        <w:t>.</w:t>
      </w:r>
    </w:p>
    <w:p w:rsidR="00174EF7" w:rsidRDefault="00BC35CD" w:rsidP="006E20C2">
      <w:pPr>
        <w:pStyle w:val="ListParagraph"/>
        <w:numPr>
          <w:ilvl w:val="0"/>
          <w:numId w:val="2"/>
        </w:numPr>
        <w:tabs>
          <w:tab w:val="left" w:pos="180"/>
          <w:tab w:val="left" w:pos="630"/>
        </w:tabs>
        <w:spacing w:after="0" w:line="240" w:lineRule="auto"/>
        <w:ind w:left="900" w:hanging="180"/>
        <w:jc w:val="both"/>
        <w:rPr>
          <w:sz w:val="24"/>
        </w:rPr>
      </w:pPr>
      <w:r>
        <w:rPr>
          <w:sz w:val="24"/>
        </w:rPr>
        <w:t>Through a QAR elective GE course</w:t>
      </w:r>
      <w:r w:rsidR="00E26963">
        <w:rPr>
          <w:sz w:val="24"/>
        </w:rPr>
        <w:t xml:space="preserve"> (62</w:t>
      </w:r>
      <w:r w:rsidR="00B9455C">
        <w:rPr>
          <w:sz w:val="24"/>
        </w:rPr>
        <w:t>% of students)</w:t>
      </w:r>
      <w:r>
        <w:rPr>
          <w:sz w:val="24"/>
        </w:rPr>
        <w:t xml:space="preserve">: </w:t>
      </w:r>
      <w:r w:rsidR="000B3520">
        <w:rPr>
          <w:sz w:val="24"/>
        </w:rPr>
        <w:t xml:space="preserve">Of the 2015 graduates, </w:t>
      </w:r>
      <w:r w:rsidR="00B9455C">
        <w:rPr>
          <w:sz w:val="24"/>
        </w:rPr>
        <w:t>61</w:t>
      </w:r>
      <w:r w:rsidR="00EE031A" w:rsidRPr="00BC35CD">
        <w:rPr>
          <w:sz w:val="24"/>
        </w:rPr>
        <w:t>%</w:t>
      </w:r>
      <w:r w:rsidR="009E4BA4">
        <w:rPr>
          <w:sz w:val="24"/>
        </w:rPr>
        <w:t xml:space="preserve"> </w:t>
      </w:r>
      <w:r w:rsidR="000B3520">
        <w:rPr>
          <w:sz w:val="24"/>
        </w:rPr>
        <w:t>(</w:t>
      </w:r>
      <w:r w:rsidR="00B9455C">
        <w:rPr>
          <w:sz w:val="24"/>
        </w:rPr>
        <w:t>189</w:t>
      </w:r>
      <w:r w:rsidR="000B3520">
        <w:rPr>
          <w:sz w:val="24"/>
        </w:rPr>
        <w:t xml:space="preserve"> of 3</w:t>
      </w:r>
      <w:r w:rsidR="00E26963">
        <w:rPr>
          <w:sz w:val="24"/>
        </w:rPr>
        <w:t>07</w:t>
      </w:r>
      <w:r w:rsidR="00EE031A" w:rsidRPr="00BC35CD">
        <w:rPr>
          <w:sz w:val="24"/>
        </w:rPr>
        <w:t>) completed one or more majors, none of which required a QAR course as part of the major program.  The breakdown for how these completed the QAR requirement is as follows:</w:t>
      </w:r>
    </w:p>
    <w:p w:rsidR="00174EF7" w:rsidRDefault="00EE031A" w:rsidP="006E20C2">
      <w:pPr>
        <w:pStyle w:val="ListParagraph"/>
        <w:numPr>
          <w:ilvl w:val="1"/>
          <w:numId w:val="2"/>
        </w:numPr>
        <w:tabs>
          <w:tab w:val="left" w:pos="180"/>
          <w:tab w:val="left" w:pos="630"/>
          <w:tab w:val="left" w:pos="1620"/>
        </w:tabs>
        <w:spacing w:after="0" w:line="240" w:lineRule="auto"/>
        <w:ind w:left="900" w:firstLine="450"/>
        <w:jc w:val="both"/>
        <w:rPr>
          <w:sz w:val="24"/>
        </w:rPr>
      </w:pPr>
      <w:r w:rsidRPr="00174EF7">
        <w:rPr>
          <w:sz w:val="24"/>
        </w:rPr>
        <w:t>85.5% through Westmont coursework</w:t>
      </w:r>
    </w:p>
    <w:p w:rsidR="00174EF7" w:rsidRDefault="00EE031A" w:rsidP="006E20C2">
      <w:pPr>
        <w:pStyle w:val="ListParagraph"/>
        <w:numPr>
          <w:ilvl w:val="1"/>
          <w:numId w:val="2"/>
        </w:numPr>
        <w:tabs>
          <w:tab w:val="left" w:pos="180"/>
          <w:tab w:val="left" w:pos="630"/>
          <w:tab w:val="left" w:pos="1620"/>
        </w:tabs>
        <w:spacing w:after="0" w:line="240" w:lineRule="auto"/>
        <w:ind w:left="900" w:firstLine="450"/>
        <w:jc w:val="both"/>
        <w:rPr>
          <w:sz w:val="24"/>
        </w:rPr>
      </w:pPr>
      <w:r w:rsidRPr="00174EF7">
        <w:rPr>
          <w:sz w:val="24"/>
        </w:rPr>
        <w:t>4.5% through AP credit</w:t>
      </w:r>
    </w:p>
    <w:p w:rsidR="00EE031A" w:rsidRPr="00174EF7" w:rsidRDefault="00EE031A" w:rsidP="006E20C2">
      <w:pPr>
        <w:pStyle w:val="ListParagraph"/>
        <w:numPr>
          <w:ilvl w:val="1"/>
          <w:numId w:val="2"/>
        </w:numPr>
        <w:tabs>
          <w:tab w:val="left" w:pos="180"/>
          <w:tab w:val="left" w:pos="630"/>
          <w:tab w:val="left" w:pos="1620"/>
        </w:tabs>
        <w:spacing w:after="0" w:line="240" w:lineRule="auto"/>
        <w:ind w:left="907" w:firstLine="450"/>
        <w:jc w:val="both"/>
        <w:rPr>
          <w:sz w:val="24"/>
        </w:rPr>
      </w:pPr>
      <w:r w:rsidRPr="00174EF7">
        <w:rPr>
          <w:sz w:val="24"/>
        </w:rPr>
        <w:t>10.0% through transfer credit</w:t>
      </w:r>
    </w:p>
    <w:p w:rsidR="00BB1353" w:rsidRDefault="008729A7" w:rsidP="006E20C2">
      <w:pPr>
        <w:tabs>
          <w:tab w:val="left" w:pos="180"/>
          <w:tab w:val="left" w:pos="630"/>
        </w:tabs>
        <w:spacing w:after="0"/>
        <w:ind w:left="907" w:hanging="180"/>
        <w:jc w:val="both"/>
        <w:rPr>
          <w:sz w:val="24"/>
        </w:rPr>
      </w:pPr>
      <w:r>
        <w:rPr>
          <w:sz w:val="24"/>
        </w:rPr>
        <w:tab/>
      </w:r>
      <w:r w:rsidR="00EE031A">
        <w:rPr>
          <w:sz w:val="24"/>
        </w:rPr>
        <w:t xml:space="preserve">The most popular Westmont elective QAR courses </w:t>
      </w:r>
      <w:r w:rsidR="00174EF7">
        <w:rPr>
          <w:sz w:val="24"/>
        </w:rPr>
        <w:t xml:space="preserve">used to meet the </w:t>
      </w:r>
      <w:r w:rsidR="00EE031A">
        <w:rPr>
          <w:sz w:val="24"/>
        </w:rPr>
        <w:t xml:space="preserve">QAR requirement were </w:t>
      </w:r>
      <w:r w:rsidR="00220FCC">
        <w:rPr>
          <w:sz w:val="24"/>
        </w:rPr>
        <w:t xml:space="preserve">in the physical sciences and computer science (e.g. </w:t>
      </w:r>
      <w:r w:rsidR="00EE031A">
        <w:rPr>
          <w:sz w:val="24"/>
        </w:rPr>
        <w:t xml:space="preserve">PHS-007 (20.6%), PHS-011 (15.87%), CS-005 </w:t>
      </w:r>
      <w:r w:rsidR="000B3520">
        <w:rPr>
          <w:sz w:val="24"/>
        </w:rPr>
        <w:t>(15.87%), and PHY-017 (12.7%)</w:t>
      </w:r>
      <w:r w:rsidR="00220FCC">
        <w:rPr>
          <w:sz w:val="24"/>
        </w:rPr>
        <w:t>)</w:t>
      </w:r>
      <w:r w:rsidR="000B3520">
        <w:rPr>
          <w:sz w:val="24"/>
        </w:rPr>
        <w:t>.</w:t>
      </w:r>
    </w:p>
    <w:p w:rsidR="009E6DE2" w:rsidRPr="000F31D9" w:rsidRDefault="009E6DE2" w:rsidP="000F31D9">
      <w:pPr>
        <w:pStyle w:val="ListParagraph"/>
        <w:numPr>
          <w:ilvl w:val="0"/>
          <w:numId w:val="2"/>
        </w:numPr>
        <w:shd w:val="clear" w:color="auto" w:fill="FFFFFF" w:themeFill="background1"/>
        <w:tabs>
          <w:tab w:val="left" w:pos="180"/>
          <w:tab w:val="left" w:pos="630"/>
        </w:tabs>
        <w:spacing w:after="0" w:line="240" w:lineRule="auto"/>
        <w:ind w:left="900" w:hanging="180"/>
        <w:jc w:val="both"/>
        <w:rPr>
          <w:sz w:val="24"/>
        </w:rPr>
      </w:pPr>
      <w:r w:rsidRPr="00567181">
        <w:rPr>
          <w:sz w:val="24"/>
        </w:rPr>
        <w:t>A review of QAR course syllabi (</w:t>
      </w:r>
      <w:r w:rsidR="00FF7002" w:rsidRPr="00567181">
        <w:rPr>
          <w:sz w:val="24"/>
        </w:rPr>
        <w:t>appendix 5</w:t>
      </w:r>
      <w:r w:rsidRPr="00567181">
        <w:rPr>
          <w:sz w:val="24"/>
        </w:rPr>
        <w:t xml:space="preserve">) </w:t>
      </w:r>
      <w:r w:rsidR="00FF7002" w:rsidRPr="00567181">
        <w:rPr>
          <w:sz w:val="24"/>
        </w:rPr>
        <w:t>indicated a high degree of instructor commitment to the QAR GE.   Instructors consistently identified their courses as meeting the QAR requirement, attempted to</w:t>
      </w:r>
      <w:r w:rsidR="00FF7002">
        <w:rPr>
          <w:sz w:val="24"/>
        </w:rPr>
        <w:t xml:space="preserve"> explain why the course met the QAR requirement, </w:t>
      </w:r>
      <w:r w:rsidR="00567181">
        <w:rPr>
          <w:sz w:val="24"/>
        </w:rPr>
        <w:t xml:space="preserve">and </w:t>
      </w:r>
      <w:r w:rsidR="00FF7002">
        <w:rPr>
          <w:sz w:val="24"/>
        </w:rPr>
        <w:t>aligned their course learning outcomes wi</w:t>
      </w:r>
      <w:r w:rsidR="00567181">
        <w:rPr>
          <w:sz w:val="24"/>
        </w:rPr>
        <w:t>th the QAR GE learning outcomes.</w:t>
      </w:r>
      <w:r w:rsidR="00FF7002">
        <w:rPr>
          <w:sz w:val="24"/>
        </w:rPr>
        <w:t xml:space="preserve"> </w:t>
      </w:r>
      <w:r>
        <w:rPr>
          <w:sz w:val="24"/>
        </w:rPr>
        <w:t xml:space="preserve"> </w:t>
      </w:r>
      <w:r w:rsidRPr="00BC35CD">
        <w:rPr>
          <w:sz w:val="24"/>
        </w:rPr>
        <w:t xml:space="preserve"> </w:t>
      </w:r>
      <w:r>
        <w:rPr>
          <w:sz w:val="24"/>
        </w:rPr>
        <w:t xml:space="preserve"> </w:t>
      </w:r>
      <w:r w:rsidR="00567181">
        <w:rPr>
          <w:sz w:val="24"/>
        </w:rPr>
        <w:t xml:space="preserve">Based on the </w:t>
      </w:r>
      <w:proofErr w:type="spellStart"/>
      <w:r w:rsidR="00567181">
        <w:rPr>
          <w:sz w:val="24"/>
        </w:rPr>
        <w:t>livetext</w:t>
      </w:r>
      <w:proofErr w:type="spellEnd"/>
      <w:r w:rsidR="00567181">
        <w:rPr>
          <w:sz w:val="24"/>
        </w:rPr>
        <w:t xml:space="preserve"> rubric assessment used, instructors demonstrated less compliance with the syllabus guidelines and did not as consistently demonstrate the degree to which their courses asked students to reflect on the strengths and weaknesses of quantitative models as tools in the natural and behavioral sciences.  However, a detailed evaluation of the syllabi indicates that the former issue was not directly relevant to the QAR GE category while the latter may reflect the stylistic conventions of science syllabi.  Specifically, science syllabi often reference the textbook when describing course assignments and so do not typically do not include enough detail in the syllabus itself to adequately communicate the degree to </w:t>
      </w:r>
      <w:r w:rsidR="00567181" w:rsidRPr="000F31D9">
        <w:rPr>
          <w:sz w:val="24"/>
        </w:rPr>
        <w:t xml:space="preserve">which quantitative models are evaluated.  </w:t>
      </w:r>
    </w:p>
    <w:p w:rsidR="003F1C26" w:rsidRPr="000F31D9" w:rsidRDefault="003F1C26" w:rsidP="000F31D9">
      <w:pPr>
        <w:shd w:val="clear" w:color="auto" w:fill="FFFFFF" w:themeFill="background1"/>
        <w:tabs>
          <w:tab w:val="left" w:pos="180"/>
          <w:tab w:val="left" w:pos="630"/>
        </w:tabs>
        <w:spacing w:after="0"/>
        <w:ind w:left="907" w:hanging="180"/>
        <w:jc w:val="both"/>
        <w:rPr>
          <w:sz w:val="8"/>
        </w:rPr>
      </w:pPr>
    </w:p>
    <w:p w:rsidR="006E6DC1" w:rsidRDefault="00BB1353" w:rsidP="006C542F">
      <w:pPr>
        <w:pStyle w:val="ListParagraph"/>
        <w:numPr>
          <w:ilvl w:val="0"/>
          <w:numId w:val="7"/>
        </w:numPr>
        <w:shd w:val="clear" w:color="auto" w:fill="FFFFFF" w:themeFill="background1"/>
        <w:tabs>
          <w:tab w:val="left" w:pos="180"/>
          <w:tab w:val="left" w:pos="720"/>
        </w:tabs>
        <w:spacing w:after="0" w:line="240" w:lineRule="auto"/>
        <w:ind w:left="720" w:hanging="274"/>
        <w:jc w:val="both"/>
        <w:rPr>
          <w:sz w:val="24"/>
        </w:rPr>
      </w:pPr>
      <w:r w:rsidRPr="000F31D9">
        <w:rPr>
          <w:sz w:val="24"/>
        </w:rPr>
        <w:t>Westmont students</w:t>
      </w:r>
      <w:r w:rsidR="006E6DC1" w:rsidRPr="000F31D9">
        <w:rPr>
          <w:sz w:val="24"/>
        </w:rPr>
        <w:t>’ answers to the NSSE quantitativ</w:t>
      </w:r>
      <w:r w:rsidR="005043A3" w:rsidRPr="000F31D9">
        <w:rPr>
          <w:sz w:val="24"/>
        </w:rPr>
        <w:t>e literacy q</w:t>
      </w:r>
      <w:r w:rsidR="000F31D9" w:rsidRPr="000F31D9">
        <w:rPr>
          <w:sz w:val="24"/>
        </w:rPr>
        <w:t>uestions (Appendix 6</w:t>
      </w:r>
      <w:r w:rsidR="008729A7" w:rsidRPr="000F31D9">
        <w:rPr>
          <w:sz w:val="24"/>
        </w:rPr>
        <w:t>) indicate</w:t>
      </w:r>
      <w:r w:rsidR="006E20C2" w:rsidRPr="000F31D9">
        <w:rPr>
          <w:sz w:val="24"/>
        </w:rPr>
        <w:t xml:space="preserve"> </w:t>
      </w:r>
      <w:r w:rsidR="006E6DC1" w:rsidRPr="000F31D9">
        <w:rPr>
          <w:sz w:val="24"/>
        </w:rPr>
        <w:t>that they</w:t>
      </w:r>
      <w:r w:rsidRPr="000F31D9">
        <w:rPr>
          <w:sz w:val="24"/>
        </w:rPr>
        <w:t xml:space="preserve"> perceive themselves to engage in quantitative reasoning about as often as other CCCU students and as often as or slightly less often than their peers at other California and US institutions.</w:t>
      </w:r>
    </w:p>
    <w:p w:rsidR="006C542F" w:rsidRPr="000F31D9" w:rsidRDefault="006C542F" w:rsidP="006C542F">
      <w:pPr>
        <w:pStyle w:val="ListParagraph"/>
        <w:shd w:val="clear" w:color="auto" w:fill="FFFFFF" w:themeFill="background1"/>
        <w:tabs>
          <w:tab w:val="left" w:pos="180"/>
          <w:tab w:val="left" w:pos="630"/>
        </w:tabs>
        <w:spacing w:after="0" w:line="240" w:lineRule="auto"/>
        <w:ind w:left="892"/>
        <w:jc w:val="both"/>
        <w:rPr>
          <w:sz w:val="24"/>
        </w:rPr>
      </w:pPr>
    </w:p>
    <w:p w:rsidR="00BB1353" w:rsidRPr="00FE4F5E" w:rsidRDefault="00BB1353" w:rsidP="006E20C2">
      <w:pPr>
        <w:tabs>
          <w:tab w:val="left" w:pos="180"/>
          <w:tab w:val="left" w:pos="630"/>
        </w:tabs>
        <w:spacing w:after="0"/>
        <w:jc w:val="both"/>
        <w:rPr>
          <w:i/>
          <w:sz w:val="24"/>
        </w:rPr>
      </w:pPr>
      <w:r w:rsidRPr="00BB1353">
        <w:rPr>
          <w:i/>
          <w:sz w:val="24"/>
        </w:rPr>
        <w:t>…</w:t>
      </w:r>
      <w:r w:rsidRPr="00FE4F5E">
        <w:rPr>
          <w:i/>
          <w:sz w:val="24"/>
        </w:rPr>
        <w:t>about our incoming studen</w:t>
      </w:r>
      <w:r w:rsidR="004D4049">
        <w:rPr>
          <w:i/>
          <w:sz w:val="24"/>
        </w:rPr>
        <w:t>ts’ aptitudes,</w:t>
      </w:r>
      <w:r w:rsidR="00AB1D58" w:rsidRPr="00FE4F5E">
        <w:rPr>
          <w:i/>
          <w:sz w:val="24"/>
        </w:rPr>
        <w:t xml:space="preserve"> weaknesses</w:t>
      </w:r>
      <w:r w:rsidR="004D4049">
        <w:rPr>
          <w:i/>
          <w:sz w:val="24"/>
        </w:rPr>
        <w:t>, and attitudes</w:t>
      </w:r>
      <w:r w:rsidRPr="00FE4F5E">
        <w:rPr>
          <w:i/>
          <w:sz w:val="24"/>
        </w:rPr>
        <w:t>.</w:t>
      </w:r>
    </w:p>
    <w:p w:rsidR="006E6DC1" w:rsidRPr="00E14BB9" w:rsidRDefault="00BB1353" w:rsidP="00E14BB9">
      <w:pPr>
        <w:pStyle w:val="ListParagraph"/>
        <w:numPr>
          <w:ilvl w:val="0"/>
          <w:numId w:val="8"/>
        </w:numPr>
        <w:tabs>
          <w:tab w:val="left" w:pos="180"/>
          <w:tab w:val="left" w:pos="630"/>
        </w:tabs>
        <w:spacing w:after="0" w:line="240" w:lineRule="auto"/>
        <w:jc w:val="both"/>
        <w:rPr>
          <w:sz w:val="24"/>
        </w:rPr>
      </w:pPr>
      <w:r w:rsidRPr="00FE4F5E">
        <w:rPr>
          <w:sz w:val="24"/>
        </w:rPr>
        <w:t xml:space="preserve">Our </w:t>
      </w:r>
      <w:r w:rsidR="006E6DC1" w:rsidRPr="00FE4F5E">
        <w:rPr>
          <w:sz w:val="24"/>
        </w:rPr>
        <w:t>incoming st</w:t>
      </w:r>
      <w:r w:rsidR="000F31D9">
        <w:rPr>
          <w:sz w:val="24"/>
        </w:rPr>
        <w:t>udents’ QLRA results (Appendix 7</w:t>
      </w:r>
      <w:r w:rsidR="006E6DC1" w:rsidRPr="00FE4F5E">
        <w:rPr>
          <w:sz w:val="24"/>
        </w:rPr>
        <w:t xml:space="preserve">) indicate that their quantitative literacy abilities </w:t>
      </w:r>
      <w:r w:rsidR="00FE4F5E" w:rsidRPr="00FE4F5E">
        <w:rPr>
          <w:sz w:val="24"/>
        </w:rPr>
        <w:t>exhibit a bimodal distribution</w:t>
      </w:r>
      <w:r w:rsidR="00E14BB9" w:rsidRPr="00E14BB9">
        <w:rPr>
          <w:sz w:val="24"/>
        </w:rPr>
        <w:t xml:space="preserve"> with means of 34% (48% of students) and 70% (52% of students). </w:t>
      </w:r>
      <w:r w:rsidR="00E14BB9">
        <w:rPr>
          <w:sz w:val="24"/>
        </w:rPr>
        <w:t xml:space="preserve"> </w:t>
      </w:r>
      <w:r w:rsidR="00CD27CF">
        <w:rPr>
          <w:sz w:val="24"/>
        </w:rPr>
        <w:t>Both the proportion of students in the lower distribution and the aggregate</w:t>
      </w:r>
      <w:r w:rsidR="006E6DC1" w:rsidRPr="00E14BB9">
        <w:rPr>
          <w:sz w:val="24"/>
        </w:rPr>
        <w:t xml:space="preserve"> mean sc</w:t>
      </w:r>
      <w:r w:rsidR="00CD27CF">
        <w:rPr>
          <w:sz w:val="24"/>
        </w:rPr>
        <w:t>ore of</w:t>
      </w:r>
      <w:r w:rsidR="006E6DC1" w:rsidRPr="00E14BB9">
        <w:rPr>
          <w:sz w:val="24"/>
        </w:rPr>
        <w:t xml:space="preserve"> 52±2% (</w:t>
      </w:r>
      <w:proofErr w:type="spellStart"/>
      <w:r w:rsidR="006E6DC1" w:rsidRPr="00E14BB9">
        <w:rPr>
          <w:sz w:val="24"/>
        </w:rPr>
        <w:t>e.s.d</w:t>
      </w:r>
      <w:proofErr w:type="spellEnd"/>
      <w:r w:rsidR="006E6DC1" w:rsidRPr="00E14BB9">
        <w:rPr>
          <w:sz w:val="24"/>
        </w:rPr>
        <w:t>. 22%, n = 107)</w:t>
      </w:r>
      <w:r w:rsidR="00CD27CF">
        <w:rPr>
          <w:sz w:val="24"/>
        </w:rPr>
        <w:t xml:space="preserve"> indicate our student population possesses quantitative literacy and reasoning aptitudes</w:t>
      </w:r>
      <w:r w:rsidR="006E6DC1" w:rsidRPr="00E14BB9">
        <w:rPr>
          <w:sz w:val="24"/>
        </w:rPr>
        <w:t xml:space="preserve"> intermediate between </w:t>
      </w:r>
      <w:r w:rsidR="00CD27CF">
        <w:rPr>
          <w:sz w:val="24"/>
        </w:rPr>
        <w:t>those of their peers at</w:t>
      </w:r>
      <w:r w:rsidR="006E6DC1" w:rsidRPr="00E14BB9">
        <w:rPr>
          <w:sz w:val="24"/>
        </w:rPr>
        <w:t xml:space="preserve"> selective (59.7% mean) and non-selective (30.1% mean) four-year schools. </w:t>
      </w:r>
    </w:p>
    <w:p w:rsidR="000F31D9" w:rsidRDefault="006E6DC1" w:rsidP="006E20C2">
      <w:pPr>
        <w:pStyle w:val="ListParagraph"/>
        <w:numPr>
          <w:ilvl w:val="0"/>
          <w:numId w:val="8"/>
        </w:numPr>
        <w:tabs>
          <w:tab w:val="left" w:pos="180"/>
          <w:tab w:val="left" w:pos="630"/>
        </w:tabs>
        <w:spacing w:after="0" w:line="240" w:lineRule="auto"/>
        <w:jc w:val="both"/>
        <w:rPr>
          <w:sz w:val="24"/>
        </w:rPr>
      </w:pPr>
      <w:r w:rsidRPr="00FE4F5E">
        <w:rPr>
          <w:sz w:val="24"/>
        </w:rPr>
        <w:lastRenderedPageBreak/>
        <w:t xml:space="preserve">Incoming students </w:t>
      </w:r>
      <w:r w:rsidR="008729A7" w:rsidRPr="00FE4F5E">
        <w:rPr>
          <w:sz w:val="24"/>
        </w:rPr>
        <w:t xml:space="preserve">exhibit greater proficiency with </w:t>
      </w:r>
      <w:r w:rsidRPr="00FE4F5E">
        <w:rPr>
          <w:sz w:val="24"/>
        </w:rPr>
        <w:t>general skills like rounding but more poorly on specific skills like working with percentage</w:t>
      </w:r>
      <w:r w:rsidR="008729A7" w:rsidRPr="00FE4F5E">
        <w:rPr>
          <w:sz w:val="24"/>
        </w:rPr>
        <w:t>s, reading graphs, and algebra</w:t>
      </w:r>
      <w:r w:rsidRPr="00FE4F5E">
        <w:rPr>
          <w:sz w:val="24"/>
        </w:rPr>
        <w:t>.</w:t>
      </w:r>
    </w:p>
    <w:p w:rsidR="008729A7" w:rsidRPr="006C542F" w:rsidRDefault="000F31D9" w:rsidP="006E20C2">
      <w:pPr>
        <w:pStyle w:val="ListParagraph"/>
        <w:numPr>
          <w:ilvl w:val="0"/>
          <w:numId w:val="8"/>
        </w:numPr>
        <w:tabs>
          <w:tab w:val="left" w:pos="180"/>
          <w:tab w:val="left" w:pos="630"/>
        </w:tabs>
        <w:spacing w:after="0" w:line="240" w:lineRule="auto"/>
        <w:jc w:val="both"/>
        <w:rPr>
          <w:sz w:val="24"/>
        </w:rPr>
      </w:pPr>
      <w:r w:rsidRPr="000F31D9">
        <w:rPr>
          <w:sz w:val="24"/>
        </w:rPr>
        <w:t>Incoming students exhibited an overall positive attitud</w:t>
      </w:r>
      <w:r>
        <w:rPr>
          <w:sz w:val="24"/>
        </w:rPr>
        <w:t>e towards quantitative literacy.  The only possible item of concern is their</w:t>
      </w:r>
      <w:r w:rsidRPr="000F31D9">
        <w:rPr>
          <w:sz w:val="24"/>
        </w:rPr>
        <w:t xml:space="preserve"> </w:t>
      </w:r>
      <w:r>
        <w:rPr>
          <w:sz w:val="24"/>
        </w:rPr>
        <w:t>ambivalence</w:t>
      </w:r>
      <w:r w:rsidRPr="000F31D9">
        <w:rPr>
          <w:sz w:val="24"/>
        </w:rPr>
        <w:t xml:space="preserve"> about the question asking about the importance of numerical </w:t>
      </w:r>
      <w:r w:rsidRPr="006C542F">
        <w:rPr>
          <w:sz w:val="24"/>
        </w:rPr>
        <w:t xml:space="preserve">information for most situations.  However, this is not regarded as an area of concern both because that question is vaguely worded and because non-quantitative factors and modes of reasoning can indeed be determinative in many situations.  </w:t>
      </w:r>
    </w:p>
    <w:p w:rsidR="000F31D9" w:rsidRPr="006C542F" w:rsidRDefault="000F31D9" w:rsidP="000F31D9">
      <w:pPr>
        <w:pStyle w:val="ListParagraph"/>
        <w:tabs>
          <w:tab w:val="left" w:pos="180"/>
          <w:tab w:val="left" w:pos="630"/>
        </w:tabs>
        <w:spacing w:after="0" w:line="240" w:lineRule="auto"/>
        <w:ind w:left="900"/>
        <w:jc w:val="both"/>
        <w:rPr>
          <w:sz w:val="24"/>
        </w:rPr>
      </w:pPr>
    </w:p>
    <w:p w:rsidR="008729A7" w:rsidRPr="006C542F" w:rsidRDefault="008729A7" w:rsidP="005043A3">
      <w:pPr>
        <w:shd w:val="clear" w:color="auto" w:fill="FFFFFF" w:themeFill="background1"/>
        <w:tabs>
          <w:tab w:val="left" w:pos="180"/>
          <w:tab w:val="left" w:pos="630"/>
        </w:tabs>
        <w:spacing w:after="0"/>
        <w:jc w:val="both"/>
        <w:rPr>
          <w:i/>
          <w:sz w:val="24"/>
        </w:rPr>
      </w:pPr>
      <w:r w:rsidRPr="006C542F">
        <w:rPr>
          <w:i/>
          <w:sz w:val="24"/>
        </w:rPr>
        <w:t xml:space="preserve">How effective </w:t>
      </w:r>
      <w:r w:rsidR="004D4049" w:rsidRPr="006C542F">
        <w:rPr>
          <w:i/>
          <w:sz w:val="24"/>
        </w:rPr>
        <w:t>a Westmont education is at developing quantitative literacy appreciation and competency</w:t>
      </w:r>
      <w:r w:rsidRPr="006C542F">
        <w:rPr>
          <w:i/>
          <w:sz w:val="24"/>
        </w:rPr>
        <w:t>.</w:t>
      </w:r>
    </w:p>
    <w:p w:rsidR="003F1C26" w:rsidRPr="006C542F" w:rsidRDefault="003F1C26" w:rsidP="005043A3">
      <w:pPr>
        <w:shd w:val="clear" w:color="auto" w:fill="FFFFFF" w:themeFill="background1"/>
        <w:tabs>
          <w:tab w:val="left" w:pos="180"/>
          <w:tab w:val="left" w:pos="630"/>
        </w:tabs>
        <w:spacing w:after="0"/>
        <w:jc w:val="both"/>
        <w:rPr>
          <w:i/>
          <w:sz w:val="8"/>
          <w:szCs w:val="8"/>
        </w:rPr>
      </w:pPr>
    </w:p>
    <w:p w:rsidR="00B64525" w:rsidRPr="006C542F" w:rsidRDefault="00CD27CF" w:rsidP="005043A3">
      <w:pPr>
        <w:pStyle w:val="ListParagraph"/>
        <w:numPr>
          <w:ilvl w:val="0"/>
          <w:numId w:val="14"/>
        </w:numPr>
        <w:shd w:val="clear" w:color="auto" w:fill="FFFFFF" w:themeFill="background1"/>
        <w:tabs>
          <w:tab w:val="left" w:pos="180"/>
          <w:tab w:val="left" w:pos="630"/>
        </w:tabs>
        <w:spacing w:after="0" w:line="240" w:lineRule="auto"/>
        <w:jc w:val="both"/>
        <w:rPr>
          <w:sz w:val="24"/>
        </w:rPr>
      </w:pPr>
      <w:r w:rsidRPr="006C542F">
        <w:rPr>
          <w:sz w:val="24"/>
        </w:rPr>
        <w:t>Seniors’ results on the</w:t>
      </w:r>
      <w:r w:rsidR="00B64525" w:rsidRPr="006C542F">
        <w:rPr>
          <w:sz w:val="24"/>
        </w:rPr>
        <w:t xml:space="preserve"> Quantitative Literacy and Reasoning Assessment (QLRA) t</w:t>
      </w:r>
      <w:r w:rsidR="006C542F" w:rsidRPr="006C542F">
        <w:rPr>
          <w:sz w:val="24"/>
        </w:rPr>
        <w:t>est are summarized in Appendix 7</w:t>
      </w:r>
      <w:r w:rsidR="00E14BB9" w:rsidRPr="006C542F">
        <w:rPr>
          <w:sz w:val="24"/>
          <w:szCs w:val="24"/>
        </w:rPr>
        <w:t xml:space="preserve">.  </w:t>
      </w:r>
      <w:r w:rsidRPr="006C542F">
        <w:rPr>
          <w:sz w:val="24"/>
          <w:szCs w:val="24"/>
        </w:rPr>
        <w:t>Overall, s</w:t>
      </w:r>
      <w:r w:rsidR="00B64525" w:rsidRPr="006C542F">
        <w:rPr>
          <w:sz w:val="24"/>
          <w:szCs w:val="24"/>
        </w:rPr>
        <w:t>eniors did considerably better than incoming students</w:t>
      </w:r>
      <w:r w:rsidR="00E14BB9" w:rsidRPr="006C542F">
        <w:rPr>
          <w:sz w:val="24"/>
          <w:szCs w:val="24"/>
        </w:rPr>
        <w:t>.  Seniors achieved</w:t>
      </w:r>
      <w:r w:rsidR="00B64525" w:rsidRPr="006C542F">
        <w:rPr>
          <w:sz w:val="24"/>
          <w:szCs w:val="24"/>
        </w:rPr>
        <w:t xml:space="preserve"> an average score of </w:t>
      </w:r>
      <w:r w:rsidR="00B64525" w:rsidRPr="006C542F">
        <w:rPr>
          <w:bCs/>
          <w:sz w:val="24"/>
          <w:szCs w:val="24"/>
        </w:rPr>
        <w:t>64± 1 % (</w:t>
      </w:r>
      <w:proofErr w:type="spellStart"/>
      <w:r w:rsidR="00B64525" w:rsidRPr="006C542F">
        <w:rPr>
          <w:bCs/>
          <w:sz w:val="24"/>
          <w:szCs w:val="24"/>
        </w:rPr>
        <w:t>e.s.d</w:t>
      </w:r>
      <w:proofErr w:type="spellEnd"/>
      <w:r w:rsidR="00B64525" w:rsidRPr="006C542F">
        <w:rPr>
          <w:bCs/>
          <w:sz w:val="24"/>
          <w:szCs w:val="24"/>
        </w:rPr>
        <w:t xml:space="preserve">. = 24%, n = 81) </w:t>
      </w:r>
      <w:r w:rsidR="00E14BB9" w:rsidRPr="006C542F">
        <w:rPr>
          <w:bCs/>
          <w:sz w:val="24"/>
          <w:szCs w:val="24"/>
        </w:rPr>
        <w:t xml:space="preserve">at the 95% confidence level and exhibited improvements in most skill categories.  The largest increases occurred for students’ ability to use algebra, interpret pie charts, </w:t>
      </w:r>
      <w:r w:rsidR="004D4049" w:rsidRPr="006C542F">
        <w:rPr>
          <w:bCs/>
          <w:sz w:val="24"/>
          <w:szCs w:val="24"/>
        </w:rPr>
        <w:t xml:space="preserve">understand verbally represented problems, </w:t>
      </w:r>
      <w:r w:rsidR="00E14BB9" w:rsidRPr="006C542F">
        <w:rPr>
          <w:bCs/>
          <w:sz w:val="24"/>
          <w:szCs w:val="24"/>
        </w:rPr>
        <w:t>work with percentages, interpret tables, and engage in proportional reasoning.  A small decrease was observed for students’ ability to use histograms.</w:t>
      </w:r>
      <w:r w:rsidR="005043A3" w:rsidRPr="006C542F">
        <w:rPr>
          <w:bCs/>
          <w:sz w:val="24"/>
          <w:szCs w:val="24"/>
        </w:rPr>
        <w:t xml:space="preserve">  </w:t>
      </w:r>
      <w:r w:rsidR="005043A3" w:rsidRPr="006C542F">
        <w:rPr>
          <w:sz w:val="24"/>
          <w:shd w:val="clear" w:color="auto" w:fill="FFFFFF" w:themeFill="background1"/>
        </w:rPr>
        <w:t>This is unsurprising, given that most of the courses that Westmont students use to complete the QAR GE fall in the areas of physical science, calculus, discrete mathematics, and computer science and do not feature extensive use of histograms.</w:t>
      </w:r>
      <w:r w:rsidR="004D4049" w:rsidRPr="006C542F">
        <w:rPr>
          <w:bCs/>
          <w:sz w:val="24"/>
          <w:szCs w:val="24"/>
        </w:rPr>
        <w:t xml:space="preserve">  </w:t>
      </w:r>
      <w:r w:rsidR="006C542F" w:rsidRPr="006C542F">
        <w:rPr>
          <w:sz w:val="24"/>
        </w:rPr>
        <w:t xml:space="preserve">Seniors exhibited significantly more positive attitudes towards quantitative literacy than incoming students, although seniors tended to be polarized over the question of whether numerical information is necessary in most situations.  This may be due to the vagueness of that question but also might reflect some seniors’ better awareness that some situations are not easily reduced to a quantitative reasoning problem. </w:t>
      </w:r>
    </w:p>
    <w:p w:rsidR="00FE4F5E" w:rsidRPr="00F364FF" w:rsidRDefault="00FE4F5E" w:rsidP="004D4049">
      <w:pPr>
        <w:pStyle w:val="ListParagraph"/>
        <w:numPr>
          <w:ilvl w:val="0"/>
          <w:numId w:val="14"/>
        </w:numPr>
        <w:tabs>
          <w:tab w:val="left" w:pos="180"/>
          <w:tab w:val="left" w:pos="630"/>
        </w:tabs>
        <w:spacing w:after="0"/>
        <w:jc w:val="both"/>
        <w:rPr>
          <w:sz w:val="24"/>
        </w:rPr>
      </w:pPr>
      <w:r w:rsidRPr="00F364FF">
        <w:rPr>
          <w:sz w:val="24"/>
        </w:rPr>
        <w:t xml:space="preserve">QAR </w:t>
      </w:r>
      <w:r w:rsidR="00A91373" w:rsidRPr="00F364FF">
        <w:rPr>
          <w:sz w:val="24"/>
        </w:rPr>
        <w:t xml:space="preserve">pre-/post </w:t>
      </w:r>
      <w:r w:rsidRPr="00F364FF">
        <w:rPr>
          <w:sz w:val="24"/>
        </w:rPr>
        <w:t>course comparison</w:t>
      </w:r>
      <w:r w:rsidR="001704C2" w:rsidRPr="00F364FF">
        <w:rPr>
          <w:sz w:val="24"/>
        </w:rPr>
        <w:t xml:space="preserve"> data is still being compiled and will be added to Appendix 8 when it is available.</w:t>
      </w:r>
    </w:p>
    <w:p w:rsidR="006E20C2" w:rsidRDefault="006E20C2" w:rsidP="00D00613">
      <w:pPr>
        <w:tabs>
          <w:tab w:val="left" w:pos="180"/>
          <w:tab w:val="left" w:pos="630"/>
        </w:tabs>
        <w:spacing w:after="0"/>
        <w:jc w:val="both"/>
        <w:rPr>
          <w:i/>
          <w:sz w:val="24"/>
        </w:rPr>
      </w:pPr>
    </w:p>
    <w:p w:rsidR="00D00613" w:rsidRDefault="00D00613" w:rsidP="00D00613">
      <w:pPr>
        <w:tabs>
          <w:tab w:val="left" w:pos="180"/>
          <w:tab w:val="left" w:pos="630"/>
        </w:tabs>
        <w:spacing w:after="0"/>
        <w:jc w:val="both"/>
        <w:rPr>
          <w:i/>
          <w:sz w:val="24"/>
        </w:rPr>
      </w:pPr>
    </w:p>
    <w:p w:rsidR="006C542F" w:rsidRDefault="006C542F" w:rsidP="006C542F">
      <w:pPr>
        <w:tabs>
          <w:tab w:val="left" w:pos="180"/>
          <w:tab w:val="left" w:pos="630"/>
        </w:tabs>
        <w:spacing w:after="0"/>
        <w:jc w:val="both"/>
        <w:rPr>
          <w:b/>
          <w:sz w:val="24"/>
        </w:rPr>
      </w:pPr>
      <w:r>
        <w:rPr>
          <w:b/>
          <w:sz w:val="24"/>
        </w:rPr>
        <w:t>Additional notes about our recommendations for improving Westmont’s effectiveness at quantitative literacy education</w:t>
      </w:r>
      <w:r w:rsidR="001704C2">
        <w:rPr>
          <w:b/>
          <w:sz w:val="24"/>
        </w:rPr>
        <w:t xml:space="preserve"> and other closing the loop activities</w:t>
      </w:r>
      <w:r>
        <w:rPr>
          <w:b/>
          <w:sz w:val="24"/>
        </w:rPr>
        <w:t xml:space="preserve">. </w:t>
      </w:r>
    </w:p>
    <w:p w:rsidR="006C542F" w:rsidRPr="006C542F" w:rsidRDefault="006C542F" w:rsidP="006C542F">
      <w:pPr>
        <w:shd w:val="clear" w:color="auto" w:fill="FFFFFF" w:themeFill="background1"/>
        <w:tabs>
          <w:tab w:val="left" w:pos="180"/>
          <w:tab w:val="left" w:pos="630"/>
        </w:tabs>
        <w:spacing w:after="0"/>
        <w:jc w:val="both"/>
        <w:rPr>
          <w:i/>
          <w:sz w:val="8"/>
          <w:szCs w:val="8"/>
        </w:rPr>
      </w:pPr>
    </w:p>
    <w:p w:rsidR="00F364FF" w:rsidRPr="008A18AC" w:rsidRDefault="006C542F" w:rsidP="00F364FF">
      <w:pPr>
        <w:tabs>
          <w:tab w:val="left" w:pos="180"/>
          <w:tab w:val="left" w:pos="720"/>
        </w:tabs>
        <w:spacing w:after="0" w:line="240" w:lineRule="auto"/>
        <w:jc w:val="both"/>
        <w:rPr>
          <w:sz w:val="24"/>
        </w:rPr>
      </w:pPr>
      <w:r>
        <w:rPr>
          <w:sz w:val="24"/>
        </w:rPr>
        <w:t xml:space="preserve">Preliminary results for our assessment of Westmont’s curricular offerings and incoming student attitudes were presented to the GE committee, academic senate, and full faculty.  </w:t>
      </w:r>
      <w:r w:rsidR="001704C2">
        <w:rPr>
          <w:sz w:val="24"/>
        </w:rPr>
        <w:t>When available the final results of this stud</w:t>
      </w:r>
      <w:r w:rsidR="00F364FF">
        <w:rPr>
          <w:sz w:val="24"/>
        </w:rPr>
        <w:t>y will be reviewed in the late s</w:t>
      </w:r>
      <w:r w:rsidR="001704C2">
        <w:rPr>
          <w:sz w:val="24"/>
        </w:rPr>
        <w:t xml:space="preserve">pring and fall of 2016 in order to develop recommendations as to how we might improve our efforts in this area.   </w:t>
      </w:r>
      <w:r w:rsidR="00F364FF">
        <w:rPr>
          <w:sz w:val="24"/>
        </w:rPr>
        <w:t>As of February 2016, it seems that our students seem to be meeting the objectives of the QL ILO but we might benefit from some adjustments to our QAR GE course offerings, QAR course syllabus policies, incorporation of histograms in QAR instruction, and our strategy for implementing value added assessment of QAR GE courses.</w:t>
      </w:r>
    </w:p>
    <w:p w:rsidR="006C542F" w:rsidRDefault="006C542F" w:rsidP="006C542F">
      <w:pPr>
        <w:tabs>
          <w:tab w:val="left" w:pos="180"/>
          <w:tab w:val="left" w:pos="630"/>
        </w:tabs>
        <w:spacing w:after="0"/>
        <w:jc w:val="both"/>
        <w:rPr>
          <w:b/>
          <w:sz w:val="24"/>
        </w:rPr>
      </w:pPr>
    </w:p>
    <w:p w:rsidR="00EB48BC" w:rsidRDefault="00EB48BC">
      <w:pPr>
        <w:rPr>
          <w:rFonts w:ascii="Arial" w:hAnsi="Arial" w:cs="Arial"/>
          <w:b/>
          <w:sz w:val="28"/>
          <w:szCs w:val="24"/>
        </w:rPr>
      </w:pPr>
    </w:p>
    <w:p w:rsidR="00B64525" w:rsidRDefault="00B64525">
      <w:pPr>
        <w:rPr>
          <w:rFonts w:ascii="Arial" w:hAnsi="Arial" w:cs="Arial"/>
          <w:b/>
          <w:sz w:val="28"/>
          <w:szCs w:val="24"/>
        </w:rPr>
      </w:pPr>
      <w:r>
        <w:rPr>
          <w:rFonts w:ascii="Arial" w:hAnsi="Arial" w:cs="Arial"/>
          <w:b/>
          <w:sz w:val="28"/>
          <w:szCs w:val="24"/>
        </w:rPr>
        <w:br w:type="page"/>
      </w:r>
    </w:p>
    <w:p w:rsidR="009E4BA4" w:rsidRPr="009E4BA4" w:rsidRDefault="009E4BA4" w:rsidP="009E4BA4">
      <w:pPr>
        <w:pStyle w:val="ListParagraph"/>
        <w:tabs>
          <w:tab w:val="left" w:pos="180"/>
          <w:tab w:val="left" w:pos="900"/>
        </w:tabs>
        <w:ind w:left="0"/>
        <w:rPr>
          <w:rFonts w:ascii="Arial" w:hAnsi="Arial" w:cs="Arial"/>
          <w:b/>
          <w:sz w:val="28"/>
          <w:szCs w:val="24"/>
        </w:rPr>
      </w:pPr>
      <w:r w:rsidRPr="009E4BA4">
        <w:rPr>
          <w:rFonts w:ascii="Arial" w:hAnsi="Arial" w:cs="Arial"/>
          <w:b/>
          <w:sz w:val="28"/>
          <w:szCs w:val="24"/>
        </w:rPr>
        <w:lastRenderedPageBreak/>
        <w:t xml:space="preserve">Appendix 1:  GE Combined Document Description of the </w:t>
      </w:r>
      <w:r w:rsidRPr="009E4BA4">
        <w:rPr>
          <w:rFonts w:ascii="Arial" w:hAnsi="Arial" w:cs="Arial"/>
          <w:b/>
          <w:i/>
          <w:sz w:val="28"/>
          <w:szCs w:val="24"/>
        </w:rPr>
        <w:t xml:space="preserve">Quantitative and Analytical Reasoning </w:t>
      </w:r>
      <w:r w:rsidRPr="009E4BA4">
        <w:rPr>
          <w:rFonts w:ascii="Arial" w:hAnsi="Arial" w:cs="Arial"/>
          <w:b/>
          <w:sz w:val="28"/>
          <w:szCs w:val="24"/>
        </w:rPr>
        <w:t>Common Skills GE.</w:t>
      </w:r>
    </w:p>
    <w:p w:rsidR="009E4BA4" w:rsidRPr="009E4BA4" w:rsidRDefault="009E4BA4" w:rsidP="009E4BA4">
      <w:pPr>
        <w:tabs>
          <w:tab w:val="left" w:pos="780"/>
          <w:tab w:val="left" w:pos="810"/>
          <w:tab w:val="left" w:pos="1350"/>
          <w:tab w:val="left" w:pos="6100"/>
          <w:tab w:val="right" w:pos="9360"/>
        </w:tabs>
        <w:spacing w:after="120" w:line="240" w:lineRule="auto"/>
        <w:ind w:left="446"/>
        <w:rPr>
          <w:rFonts w:ascii="Arial" w:hAnsi="Arial" w:cs="Arial"/>
          <w:sz w:val="24"/>
          <w:szCs w:val="24"/>
        </w:rPr>
      </w:pPr>
      <w:r w:rsidRPr="009E4BA4">
        <w:rPr>
          <w:rFonts w:ascii="Arial" w:hAnsi="Arial" w:cs="Arial"/>
          <w:b/>
          <w:sz w:val="24"/>
          <w:szCs w:val="24"/>
        </w:rPr>
        <w:t xml:space="preserve">Quantitative and Analytical Reasoning </w:t>
      </w:r>
      <w:r w:rsidRPr="009E4BA4">
        <w:rPr>
          <w:rFonts w:ascii="Arial" w:hAnsi="Arial" w:cs="Arial"/>
          <w:bCs/>
          <w:sz w:val="24"/>
          <w:szCs w:val="24"/>
        </w:rPr>
        <w:t>(4)</w:t>
      </w:r>
      <w:r w:rsidRPr="009E4BA4">
        <w:rPr>
          <w:rFonts w:ascii="Arial" w:hAnsi="Arial" w:cs="Arial"/>
          <w:sz w:val="24"/>
          <w:szCs w:val="24"/>
        </w:rPr>
        <w:t xml:space="preserve"> </w:t>
      </w:r>
    </w:p>
    <w:p w:rsidR="009E4BA4" w:rsidRPr="009E4BA4" w:rsidRDefault="009E4BA4" w:rsidP="009E4BA4">
      <w:pPr>
        <w:tabs>
          <w:tab w:val="left" w:pos="780"/>
          <w:tab w:val="left" w:pos="810"/>
          <w:tab w:val="left" w:pos="1350"/>
          <w:tab w:val="left" w:pos="6100"/>
          <w:tab w:val="right" w:pos="9360"/>
        </w:tabs>
        <w:spacing w:after="120"/>
        <w:ind w:left="446"/>
        <w:rPr>
          <w:rFonts w:ascii="Arial" w:hAnsi="Arial" w:cs="Arial"/>
          <w:sz w:val="24"/>
          <w:szCs w:val="24"/>
        </w:rPr>
      </w:pPr>
      <w:r w:rsidRPr="009E4BA4">
        <w:rPr>
          <w:rFonts w:ascii="Arial" w:hAnsi="Arial" w:cs="Arial"/>
          <w:sz w:val="24"/>
          <w:szCs w:val="24"/>
        </w:rPr>
        <w:t>Since many phenomena in our world can best be understood through quantitative and analytic methods, students should develop the ability to interpret, evaluate and communicate quantitative ideas.  Central to courses satisfying this requirement is:  the use of mathematical models for physical or social systems or; the understanding and communication of numeric data including the computation and interpretation of summative statistics and the presentation and interpretation of graphical representations of data. A core focus of the course should be the explicit study of quantitative and analytic methods, or, alternatively, the reflective use of quantitative methods as a tool.</w:t>
      </w:r>
    </w:p>
    <w:p w:rsidR="009E4BA4" w:rsidRPr="009E4BA4" w:rsidRDefault="009E4BA4" w:rsidP="009E4BA4">
      <w:pPr>
        <w:tabs>
          <w:tab w:val="left" w:pos="450"/>
          <w:tab w:val="right" w:pos="3510"/>
        </w:tabs>
        <w:spacing w:after="120"/>
        <w:ind w:left="450"/>
        <w:rPr>
          <w:rFonts w:ascii="Arial" w:hAnsi="Arial" w:cs="Arial"/>
          <w:b/>
          <w:sz w:val="24"/>
          <w:szCs w:val="24"/>
          <w:u w:val="single"/>
        </w:rPr>
      </w:pPr>
      <w:r w:rsidRPr="009E4BA4">
        <w:rPr>
          <w:rFonts w:ascii="Arial" w:hAnsi="Arial" w:cs="Arial"/>
          <w:b/>
          <w:sz w:val="24"/>
          <w:szCs w:val="24"/>
          <w:u w:val="single"/>
        </w:rPr>
        <w:t xml:space="preserve">Certification Criteria </w:t>
      </w:r>
    </w:p>
    <w:p w:rsidR="009E4BA4" w:rsidRPr="009E4BA4" w:rsidRDefault="009E4BA4" w:rsidP="009E4BA4">
      <w:pPr>
        <w:pStyle w:val="Default"/>
        <w:ind w:left="450"/>
        <w:rPr>
          <w:rFonts w:ascii="Arial" w:hAnsi="Arial" w:cs="Arial"/>
          <w:color w:val="auto"/>
        </w:rPr>
      </w:pPr>
      <w:r w:rsidRPr="009E4BA4">
        <w:rPr>
          <w:rFonts w:ascii="Arial" w:hAnsi="Arial" w:cs="Arial"/>
          <w:color w:val="auto"/>
        </w:rPr>
        <w:t xml:space="preserve">Students will be able to </w:t>
      </w:r>
    </w:p>
    <w:p w:rsidR="009E4BA4" w:rsidRPr="009E4BA4" w:rsidRDefault="009E4BA4" w:rsidP="009E4BA4">
      <w:pPr>
        <w:pStyle w:val="Default"/>
        <w:tabs>
          <w:tab w:val="left" w:pos="630"/>
        </w:tabs>
        <w:ind w:left="720" w:hanging="270"/>
        <w:rPr>
          <w:rFonts w:ascii="Arial" w:hAnsi="Arial" w:cs="Arial"/>
          <w:color w:val="auto"/>
        </w:rPr>
      </w:pPr>
      <w:r w:rsidRPr="009E4BA4">
        <w:rPr>
          <w:rFonts w:ascii="Arial" w:hAnsi="Arial" w:cs="Arial"/>
          <w:color w:val="auto"/>
        </w:rPr>
        <w:t xml:space="preserve">1. make use of mathematical </w:t>
      </w:r>
      <w:r w:rsidRPr="009E4BA4">
        <w:rPr>
          <w:rFonts w:ascii="Arial" w:hAnsi="Arial" w:cs="Arial"/>
          <w:bCs/>
          <w:iCs/>
          <w:color w:val="auto"/>
        </w:rPr>
        <w:t>(including statistical)</w:t>
      </w:r>
      <w:r w:rsidRPr="009E4BA4">
        <w:rPr>
          <w:rFonts w:ascii="Arial" w:hAnsi="Arial" w:cs="Arial"/>
          <w:b/>
          <w:bCs/>
          <w:i/>
          <w:iCs/>
          <w:color w:val="auto"/>
        </w:rPr>
        <w:t xml:space="preserve"> </w:t>
      </w:r>
      <w:r w:rsidRPr="009E4BA4">
        <w:rPr>
          <w:rFonts w:ascii="Arial" w:hAnsi="Arial" w:cs="Arial"/>
          <w:color w:val="auto"/>
        </w:rPr>
        <w:t xml:space="preserve">models for physical or social systems </w:t>
      </w:r>
    </w:p>
    <w:p w:rsidR="009E4BA4" w:rsidRPr="009E4BA4" w:rsidRDefault="009E4BA4" w:rsidP="009E4BA4">
      <w:pPr>
        <w:pStyle w:val="Default"/>
        <w:tabs>
          <w:tab w:val="left" w:pos="630"/>
        </w:tabs>
        <w:ind w:left="720" w:hanging="270"/>
        <w:rPr>
          <w:rFonts w:ascii="Arial" w:hAnsi="Arial" w:cs="Arial"/>
          <w:color w:val="auto"/>
        </w:rPr>
      </w:pPr>
      <w:r>
        <w:rPr>
          <w:rFonts w:ascii="Arial" w:hAnsi="Arial" w:cs="Arial"/>
          <w:color w:val="auto"/>
        </w:rPr>
        <w:tab/>
        <w:t xml:space="preserve"> </w:t>
      </w:r>
      <w:r w:rsidRPr="009E4BA4">
        <w:rPr>
          <w:rFonts w:ascii="Arial" w:hAnsi="Arial" w:cs="Arial"/>
          <w:color w:val="auto"/>
        </w:rPr>
        <w:t>-and/or-</w:t>
      </w:r>
    </w:p>
    <w:p w:rsidR="009E4BA4" w:rsidRPr="009E4BA4" w:rsidRDefault="009E4BA4" w:rsidP="009E4BA4">
      <w:pPr>
        <w:pStyle w:val="Default"/>
        <w:tabs>
          <w:tab w:val="left" w:pos="630"/>
        </w:tabs>
        <w:ind w:left="720" w:hanging="270"/>
        <w:rPr>
          <w:rFonts w:ascii="Arial" w:hAnsi="Arial" w:cs="Arial"/>
          <w:color w:val="auto"/>
        </w:rPr>
      </w:pPr>
      <w:r>
        <w:rPr>
          <w:rFonts w:ascii="Arial" w:hAnsi="Arial" w:cs="Arial"/>
          <w:color w:val="auto"/>
        </w:rPr>
        <w:tab/>
      </w:r>
      <w:r>
        <w:rPr>
          <w:rFonts w:ascii="Arial" w:hAnsi="Arial" w:cs="Arial"/>
          <w:color w:val="auto"/>
        </w:rPr>
        <w:tab/>
      </w:r>
      <w:r w:rsidRPr="009E4BA4">
        <w:rPr>
          <w:rFonts w:ascii="Arial" w:hAnsi="Arial" w:cs="Arial"/>
          <w:color w:val="auto"/>
        </w:rPr>
        <w:t xml:space="preserve">compute and interpret numeric data, summative statistics and/or graphical representations; </w:t>
      </w:r>
    </w:p>
    <w:p w:rsidR="009E4BA4" w:rsidRPr="009E4BA4" w:rsidRDefault="009E4BA4" w:rsidP="009E4BA4">
      <w:pPr>
        <w:pStyle w:val="Default"/>
        <w:ind w:left="720" w:hanging="274"/>
        <w:rPr>
          <w:rFonts w:ascii="Arial" w:hAnsi="Arial" w:cs="Arial"/>
          <w:color w:val="auto"/>
        </w:rPr>
      </w:pPr>
      <w:r w:rsidRPr="009E4BA4">
        <w:rPr>
          <w:rFonts w:ascii="Arial" w:hAnsi="Arial" w:cs="Arial"/>
          <w:i/>
          <w:iCs/>
          <w:color w:val="auto"/>
        </w:rPr>
        <w:t xml:space="preserve">2. </w:t>
      </w:r>
      <w:r w:rsidRPr="009E4BA4">
        <w:rPr>
          <w:rFonts w:ascii="Arial" w:hAnsi="Arial" w:cs="Arial"/>
          <w:color w:val="auto"/>
        </w:rPr>
        <w:t xml:space="preserve">reflect on the strengths and weaknesses of particular quantitative models or methods as tools in the natural and social sciences; </w:t>
      </w:r>
    </w:p>
    <w:p w:rsidR="009E4BA4" w:rsidRPr="009E4BA4" w:rsidRDefault="009E4BA4" w:rsidP="009E4BA4">
      <w:pPr>
        <w:pStyle w:val="Default"/>
        <w:spacing w:after="120"/>
        <w:ind w:left="720" w:hanging="274"/>
        <w:rPr>
          <w:rFonts w:ascii="Arial" w:hAnsi="Arial" w:cs="Arial"/>
          <w:color w:val="auto"/>
        </w:rPr>
      </w:pPr>
      <w:r w:rsidRPr="009E4BA4">
        <w:rPr>
          <w:rFonts w:ascii="Arial" w:hAnsi="Arial" w:cs="Arial"/>
          <w:bCs/>
          <w:iCs/>
          <w:color w:val="auto"/>
        </w:rPr>
        <w:t xml:space="preserve">3. be able to interpret, reflect on, and use quantitative models and data in public, vocational, and/or private decision making. </w:t>
      </w:r>
    </w:p>
    <w:p w:rsidR="009E4BA4" w:rsidRPr="009E4BA4" w:rsidRDefault="009E4BA4" w:rsidP="009E4BA4">
      <w:pPr>
        <w:tabs>
          <w:tab w:val="left" w:pos="450"/>
          <w:tab w:val="right" w:pos="3510"/>
        </w:tabs>
        <w:spacing w:after="120"/>
        <w:ind w:left="450"/>
        <w:rPr>
          <w:rFonts w:ascii="Arial" w:hAnsi="Arial" w:cs="Arial"/>
          <w:sz w:val="24"/>
          <w:szCs w:val="24"/>
        </w:rPr>
      </w:pPr>
      <w:r w:rsidRPr="009E4BA4">
        <w:rPr>
          <w:rFonts w:ascii="Arial" w:hAnsi="Arial" w:cs="Arial"/>
          <w:b/>
          <w:bCs/>
          <w:sz w:val="24"/>
          <w:szCs w:val="24"/>
          <w:u w:val="single"/>
        </w:rPr>
        <w:t>Student Learning Outcome</w:t>
      </w:r>
      <w:r w:rsidRPr="009E4BA4">
        <w:rPr>
          <w:rFonts w:ascii="Arial" w:hAnsi="Arial" w:cs="Arial"/>
          <w:b/>
          <w:bCs/>
          <w:sz w:val="24"/>
          <w:szCs w:val="24"/>
        </w:rPr>
        <w:t xml:space="preserve"> </w:t>
      </w:r>
      <w:r w:rsidRPr="009E4BA4">
        <w:rPr>
          <w:rFonts w:ascii="Arial" w:hAnsi="Arial" w:cs="Arial"/>
          <w:sz w:val="24"/>
          <w:szCs w:val="24"/>
        </w:rPr>
        <w:t>(assessed as part of Quantitative Reasoning ILO)</w:t>
      </w:r>
    </w:p>
    <w:p w:rsidR="009E4BA4" w:rsidRPr="009E4BA4" w:rsidRDefault="009E4BA4" w:rsidP="009E4BA4">
      <w:pPr>
        <w:tabs>
          <w:tab w:val="left" w:pos="450"/>
        </w:tabs>
        <w:ind w:left="450"/>
        <w:rPr>
          <w:rFonts w:ascii="Arial" w:hAnsi="Arial" w:cs="Arial"/>
          <w:sz w:val="24"/>
          <w:szCs w:val="24"/>
        </w:rPr>
      </w:pPr>
      <w:r w:rsidRPr="009E4BA4">
        <w:rPr>
          <w:rFonts w:ascii="Arial" w:eastAsia="Times New Roman" w:hAnsi="Arial" w:cs="Arial"/>
          <w:sz w:val="24"/>
          <w:szCs w:val="24"/>
        </w:rPr>
        <w:t xml:space="preserve">Students will </w:t>
      </w:r>
      <w:r w:rsidRPr="009E4BA4">
        <w:rPr>
          <w:rFonts w:ascii="Arial" w:hAnsi="Arial" w:cs="Arial"/>
          <w:bCs/>
          <w:sz w:val="24"/>
          <w:szCs w:val="24"/>
        </w:rPr>
        <w:t>apply relevant scientific, mathematical and logical methods to analyze and solve problems effectively and be able to utilize the results appropriately when making decisions.</w:t>
      </w:r>
    </w:p>
    <w:p w:rsidR="009E4BA4" w:rsidRDefault="009E4BA4" w:rsidP="009E4BA4">
      <w:r>
        <w:br w:type="page"/>
      </w:r>
    </w:p>
    <w:p w:rsidR="009E4BA4" w:rsidRPr="009E4BA4" w:rsidRDefault="009E4BA4" w:rsidP="009E4BA4">
      <w:pPr>
        <w:spacing w:after="0" w:line="240" w:lineRule="auto"/>
        <w:rPr>
          <w:rFonts w:ascii="Arial" w:eastAsia="Times New Roman" w:hAnsi="Arial" w:cs="Arial"/>
          <w:b/>
          <w:sz w:val="28"/>
          <w:szCs w:val="30"/>
        </w:rPr>
      </w:pPr>
      <w:r w:rsidRPr="009E4BA4">
        <w:rPr>
          <w:rFonts w:ascii="Arial" w:eastAsia="Times New Roman" w:hAnsi="Arial" w:cs="Arial"/>
          <w:b/>
          <w:sz w:val="28"/>
          <w:szCs w:val="30"/>
        </w:rPr>
        <w:lastRenderedPageBreak/>
        <w:t>Appendix 2:  Westmont Quantitative and Analytical Reasoning GE Courses</w:t>
      </w:r>
    </w:p>
    <w:p w:rsidR="009E4BA4" w:rsidRDefault="009E4BA4" w:rsidP="009E4BA4">
      <w:pPr>
        <w:spacing w:after="0" w:line="240" w:lineRule="auto"/>
        <w:rPr>
          <w:rFonts w:ascii="Arial" w:eastAsia="Times New Roman" w:hAnsi="Arial" w:cs="Arial"/>
          <w:sz w:val="30"/>
          <w:szCs w:val="30"/>
        </w:rPr>
      </w:pPr>
    </w:p>
    <w:p w:rsidR="009E4BA4" w:rsidRPr="009E4BA4" w:rsidRDefault="009E4BA4" w:rsidP="009E4BA4">
      <w:pPr>
        <w:spacing w:after="0" w:line="240" w:lineRule="auto"/>
        <w:rPr>
          <w:rFonts w:ascii="Arial" w:eastAsia="Times New Roman" w:hAnsi="Arial" w:cs="Arial"/>
          <w:b/>
          <w:sz w:val="24"/>
          <w:szCs w:val="24"/>
        </w:rPr>
      </w:pPr>
      <w:r w:rsidRPr="009E4BA4">
        <w:rPr>
          <w:rFonts w:ascii="Arial" w:eastAsia="Times New Roman" w:hAnsi="Arial" w:cs="Arial"/>
          <w:b/>
          <w:sz w:val="24"/>
          <w:szCs w:val="24"/>
        </w:rPr>
        <w:t>Key:</w:t>
      </w:r>
    </w:p>
    <w:p w:rsidR="009E4BA4" w:rsidRPr="009E4BA4" w:rsidRDefault="009E4BA4" w:rsidP="009E4BA4">
      <w:pPr>
        <w:pStyle w:val="ListParagraph"/>
        <w:numPr>
          <w:ilvl w:val="0"/>
          <w:numId w:val="5"/>
        </w:numPr>
        <w:spacing w:after="0" w:line="240" w:lineRule="auto"/>
        <w:ind w:left="270" w:hanging="270"/>
        <w:rPr>
          <w:rFonts w:ascii="Arial" w:eastAsia="Times New Roman" w:hAnsi="Arial" w:cs="Arial"/>
          <w:sz w:val="24"/>
          <w:szCs w:val="24"/>
        </w:rPr>
      </w:pPr>
      <w:r w:rsidRPr="009E4BA4">
        <w:rPr>
          <w:rFonts w:ascii="Arial" w:eastAsia="Times New Roman" w:hAnsi="Arial" w:cs="Arial"/>
          <w:b/>
          <w:color w:val="4F6228" w:themeColor="accent3" w:themeShade="80"/>
          <w:sz w:val="24"/>
          <w:szCs w:val="24"/>
        </w:rPr>
        <w:t>Green</w:t>
      </w:r>
      <w:r w:rsidRPr="009E4BA4">
        <w:rPr>
          <w:rFonts w:ascii="Arial" w:eastAsia="Times New Roman" w:hAnsi="Arial" w:cs="Arial"/>
          <w:sz w:val="24"/>
          <w:szCs w:val="24"/>
        </w:rPr>
        <w:t xml:space="preserve"> means that the course is offered in both the </w:t>
      </w:r>
      <w:r w:rsidRPr="009E4BA4">
        <w:rPr>
          <w:rFonts w:ascii="Arial" w:eastAsia="Times New Roman" w:hAnsi="Arial" w:cs="Arial"/>
          <w:b/>
          <w:color w:val="006600"/>
          <w:sz w:val="24"/>
          <w:szCs w:val="24"/>
        </w:rPr>
        <w:t>fall of 2015 and spring of 2016</w:t>
      </w:r>
    </w:p>
    <w:p w:rsidR="009E4BA4" w:rsidRPr="009E4BA4" w:rsidRDefault="009E4BA4" w:rsidP="009E4BA4">
      <w:pPr>
        <w:pStyle w:val="ListParagraph"/>
        <w:numPr>
          <w:ilvl w:val="0"/>
          <w:numId w:val="5"/>
        </w:numPr>
        <w:spacing w:after="0" w:line="240" w:lineRule="auto"/>
        <w:ind w:left="270" w:hanging="270"/>
        <w:rPr>
          <w:rFonts w:ascii="Arial" w:eastAsia="Times New Roman" w:hAnsi="Arial" w:cs="Arial"/>
          <w:color w:val="C00000"/>
          <w:sz w:val="24"/>
          <w:szCs w:val="24"/>
        </w:rPr>
      </w:pPr>
      <w:r w:rsidRPr="009E4BA4">
        <w:rPr>
          <w:rFonts w:ascii="Arial" w:eastAsia="Times New Roman" w:hAnsi="Arial" w:cs="Arial"/>
          <w:b/>
          <w:color w:val="C00000"/>
          <w:sz w:val="24"/>
          <w:szCs w:val="24"/>
        </w:rPr>
        <w:t>Red</w:t>
      </w:r>
      <w:r w:rsidRPr="009E4BA4">
        <w:rPr>
          <w:rFonts w:ascii="Arial" w:eastAsia="Times New Roman" w:hAnsi="Arial" w:cs="Arial"/>
          <w:sz w:val="24"/>
          <w:szCs w:val="24"/>
        </w:rPr>
        <w:t xml:space="preserve"> means that the course is offered in the </w:t>
      </w:r>
      <w:r w:rsidRPr="009E4BA4">
        <w:rPr>
          <w:rFonts w:ascii="Arial" w:eastAsia="Times New Roman" w:hAnsi="Arial" w:cs="Arial"/>
          <w:b/>
          <w:color w:val="C00000"/>
          <w:sz w:val="24"/>
          <w:szCs w:val="24"/>
        </w:rPr>
        <w:t>fall of 2015</w:t>
      </w:r>
    </w:p>
    <w:p w:rsidR="009E4BA4" w:rsidRPr="009E4BA4" w:rsidRDefault="009E4BA4" w:rsidP="009E4BA4">
      <w:pPr>
        <w:pStyle w:val="ListParagraph"/>
        <w:numPr>
          <w:ilvl w:val="0"/>
          <w:numId w:val="5"/>
        </w:numPr>
        <w:spacing w:after="0" w:line="240" w:lineRule="auto"/>
        <w:ind w:left="270" w:hanging="270"/>
        <w:rPr>
          <w:rFonts w:ascii="Arial" w:eastAsia="Times New Roman" w:hAnsi="Arial" w:cs="Arial"/>
          <w:b/>
          <w:color w:val="1F497D" w:themeColor="text2"/>
          <w:sz w:val="24"/>
          <w:szCs w:val="24"/>
        </w:rPr>
      </w:pPr>
      <w:r w:rsidRPr="009E4BA4">
        <w:rPr>
          <w:rFonts w:ascii="Arial" w:eastAsia="Times New Roman" w:hAnsi="Arial" w:cs="Arial"/>
          <w:b/>
          <w:color w:val="1F497D" w:themeColor="text2"/>
          <w:sz w:val="24"/>
          <w:szCs w:val="24"/>
        </w:rPr>
        <w:t>Blue</w:t>
      </w:r>
      <w:r w:rsidRPr="009E4BA4">
        <w:rPr>
          <w:rFonts w:ascii="Arial" w:eastAsia="Times New Roman" w:hAnsi="Arial" w:cs="Arial"/>
          <w:sz w:val="24"/>
          <w:szCs w:val="24"/>
        </w:rPr>
        <w:t xml:space="preserve"> means that the course is offered in the </w:t>
      </w:r>
      <w:r w:rsidRPr="009E4BA4">
        <w:rPr>
          <w:rFonts w:ascii="Arial" w:eastAsia="Times New Roman" w:hAnsi="Arial" w:cs="Arial"/>
          <w:b/>
          <w:color w:val="1F497D" w:themeColor="text2"/>
          <w:sz w:val="24"/>
          <w:szCs w:val="24"/>
        </w:rPr>
        <w:t>spring of 2016</w:t>
      </w:r>
    </w:p>
    <w:p w:rsidR="009E4BA4" w:rsidRPr="009E4BA4" w:rsidRDefault="009E4BA4" w:rsidP="009E4BA4">
      <w:pPr>
        <w:pStyle w:val="ListParagraph"/>
        <w:numPr>
          <w:ilvl w:val="0"/>
          <w:numId w:val="5"/>
        </w:numPr>
        <w:spacing w:after="0" w:line="240" w:lineRule="auto"/>
        <w:ind w:left="270" w:hanging="270"/>
        <w:rPr>
          <w:rFonts w:ascii="Arial" w:eastAsia="Times New Roman" w:hAnsi="Arial" w:cs="Arial"/>
          <w:sz w:val="24"/>
          <w:szCs w:val="24"/>
        </w:rPr>
      </w:pPr>
      <w:r w:rsidRPr="009E4BA4">
        <w:rPr>
          <w:rFonts w:ascii="Arial" w:eastAsia="Times New Roman" w:hAnsi="Arial" w:cs="Arial"/>
          <w:b/>
          <w:sz w:val="24"/>
          <w:szCs w:val="24"/>
        </w:rPr>
        <w:t xml:space="preserve">An asterisk (*) </w:t>
      </w:r>
      <w:r w:rsidRPr="009E4BA4">
        <w:rPr>
          <w:rFonts w:ascii="Arial" w:eastAsia="Times New Roman" w:hAnsi="Arial" w:cs="Arial"/>
          <w:sz w:val="24"/>
          <w:szCs w:val="24"/>
        </w:rPr>
        <w:t>means that at least one section of the course</w:t>
      </w:r>
      <w:r w:rsidRPr="009E4BA4">
        <w:rPr>
          <w:rFonts w:ascii="Arial" w:eastAsia="Times New Roman" w:hAnsi="Arial" w:cs="Arial"/>
          <w:b/>
          <w:sz w:val="24"/>
          <w:szCs w:val="24"/>
        </w:rPr>
        <w:t xml:space="preserve"> participated in the fall 2015 pretest assessment. </w:t>
      </w:r>
      <w:r w:rsidRPr="009E4BA4">
        <w:rPr>
          <w:rFonts w:ascii="Arial" w:eastAsia="Times New Roman" w:hAnsi="Arial" w:cs="Arial"/>
          <w:sz w:val="24"/>
          <w:szCs w:val="24"/>
        </w:rPr>
        <w:t>Courses were counted as having participated if they attained a response rate greater than 15%, although for reference the participating course response rate varied between 27 and 100% while the nonparticipating response rate varied from 2-8%.</w:t>
      </w:r>
    </w:p>
    <w:p w:rsidR="009E4BA4" w:rsidRPr="009E4BA4" w:rsidRDefault="009E4BA4" w:rsidP="009E4BA4">
      <w:pPr>
        <w:pStyle w:val="ListParagraph"/>
        <w:numPr>
          <w:ilvl w:val="0"/>
          <w:numId w:val="5"/>
        </w:numPr>
        <w:spacing w:after="0" w:line="240" w:lineRule="auto"/>
        <w:ind w:left="270" w:hanging="270"/>
        <w:rPr>
          <w:rFonts w:ascii="Arial" w:eastAsia="Times New Roman" w:hAnsi="Arial" w:cs="Arial"/>
          <w:sz w:val="24"/>
          <w:szCs w:val="24"/>
        </w:rPr>
      </w:pPr>
      <w:r w:rsidRPr="009E4BA4">
        <w:rPr>
          <w:rFonts w:ascii="Arial" w:eastAsia="Times New Roman" w:hAnsi="Arial" w:cs="Arial"/>
          <w:b/>
          <w:sz w:val="24"/>
          <w:szCs w:val="24"/>
        </w:rPr>
        <w:t>A double dagger (</w:t>
      </w:r>
      <w:r w:rsidRPr="009E4BA4">
        <w:rPr>
          <w:rFonts w:ascii="Calibri" w:eastAsia="Times New Roman" w:hAnsi="Calibri" w:cs="Arial"/>
          <w:b/>
          <w:sz w:val="24"/>
          <w:szCs w:val="24"/>
        </w:rPr>
        <w:t xml:space="preserve">‡) </w:t>
      </w:r>
      <w:r w:rsidRPr="009E4BA4">
        <w:rPr>
          <w:rFonts w:ascii="Calibri" w:eastAsia="Times New Roman" w:hAnsi="Calibri" w:cs="Arial"/>
          <w:sz w:val="24"/>
          <w:szCs w:val="24"/>
        </w:rPr>
        <w:t>means that the course has not been offered recently (&gt;5 years) and that there is no immediate plans to offer it in the future.</w:t>
      </w:r>
    </w:p>
    <w:p w:rsidR="009E4BA4" w:rsidRPr="007810E6" w:rsidRDefault="009E4BA4" w:rsidP="009E4BA4">
      <w:pPr>
        <w:spacing w:after="0" w:line="240" w:lineRule="auto"/>
        <w:rPr>
          <w:rFonts w:ascii="Arial" w:eastAsia="Times New Roman" w:hAnsi="Arial" w:cs="Arial"/>
          <w:sz w:val="30"/>
          <w:szCs w:val="30"/>
        </w:rPr>
      </w:pPr>
    </w:p>
    <w:p w:rsidR="009E4BA4" w:rsidRPr="00233970" w:rsidRDefault="009E4BA4" w:rsidP="009E4BA4">
      <w:pPr>
        <w:spacing w:after="0" w:line="240" w:lineRule="auto"/>
        <w:rPr>
          <w:rFonts w:ascii="Arial" w:eastAsia="Times New Roman" w:hAnsi="Arial" w:cs="Arial"/>
          <w:b/>
          <w:szCs w:val="20"/>
        </w:rPr>
      </w:pPr>
      <w:r>
        <w:rPr>
          <w:rFonts w:ascii="Calibri" w:eastAsia="Times New Roman" w:hAnsi="Calibri" w:cs="Arial"/>
          <w:b/>
          <w:szCs w:val="20"/>
        </w:rPr>
        <w:t>‡</w:t>
      </w:r>
      <w:r w:rsidRPr="00233970">
        <w:rPr>
          <w:rFonts w:ascii="Arial" w:eastAsia="Times New Roman" w:hAnsi="Arial" w:cs="Arial"/>
          <w:b/>
          <w:szCs w:val="20"/>
        </w:rPr>
        <w:t xml:space="preserve">CHM-001  </w:t>
      </w:r>
      <w:r w:rsidRPr="00233970">
        <w:rPr>
          <w:rFonts w:ascii="Arial" w:eastAsia="Times New Roman" w:hAnsi="Arial" w:cs="Arial"/>
          <w:b/>
          <w:szCs w:val="20"/>
        </w:rPr>
        <w:tab/>
      </w:r>
      <w:r w:rsidRPr="00233970">
        <w:rPr>
          <w:rFonts w:ascii="Arial" w:eastAsia="Times New Roman" w:hAnsi="Arial" w:cs="Arial"/>
          <w:b/>
          <w:szCs w:val="20"/>
        </w:rPr>
        <w:tab/>
        <w:t>Introductory General Chemistry</w:t>
      </w:r>
    </w:p>
    <w:p w:rsidR="009E4BA4" w:rsidRPr="00233970" w:rsidRDefault="009E4BA4" w:rsidP="009E4BA4">
      <w:pPr>
        <w:spacing w:after="0" w:line="240" w:lineRule="auto"/>
        <w:rPr>
          <w:rFonts w:ascii="Arial" w:eastAsia="Times New Roman" w:hAnsi="Arial" w:cs="Arial"/>
          <w:b/>
          <w:color w:val="C00000"/>
          <w:szCs w:val="20"/>
        </w:rPr>
      </w:pPr>
      <w:r>
        <w:rPr>
          <w:rFonts w:ascii="Arial" w:eastAsia="Times New Roman" w:hAnsi="Arial" w:cs="Arial"/>
          <w:b/>
          <w:color w:val="C00000"/>
          <w:szCs w:val="20"/>
        </w:rPr>
        <w:t>*</w:t>
      </w:r>
      <w:r w:rsidRPr="00233970">
        <w:rPr>
          <w:rFonts w:ascii="Arial" w:eastAsia="Times New Roman" w:hAnsi="Arial" w:cs="Arial"/>
          <w:b/>
          <w:color w:val="C00000"/>
          <w:szCs w:val="20"/>
        </w:rPr>
        <w:t>CHM-005</w:t>
      </w:r>
      <w:r w:rsidRPr="00233970">
        <w:rPr>
          <w:rFonts w:ascii="Arial" w:eastAsia="Times New Roman" w:hAnsi="Arial" w:cs="Arial"/>
          <w:b/>
          <w:color w:val="C00000"/>
          <w:szCs w:val="20"/>
        </w:rPr>
        <w:tab/>
      </w:r>
      <w:r w:rsidRPr="00233970">
        <w:rPr>
          <w:rFonts w:ascii="Arial" w:eastAsia="Times New Roman" w:hAnsi="Arial" w:cs="Arial"/>
          <w:b/>
          <w:color w:val="C00000"/>
          <w:szCs w:val="20"/>
        </w:rPr>
        <w:tab/>
        <w:t>General Chemistry I w/ Lab</w:t>
      </w:r>
    </w:p>
    <w:p w:rsidR="009E4BA4" w:rsidRPr="00233970" w:rsidRDefault="009E4BA4" w:rsidP="009E4BA4">
      <w:pPr>
        <w:spacing w:after="0" w:line="240" w:lineRule="auto"/>
        <w:rPr>
          <w:rFonts w:ascii="Arial" w:eastAsia="Times New Roman" w:hAnsi="Arial" w:cs="Arial"/>
          <w:b/>
          <w:szCs w:val="20"/>
        </w:rPr>
      </w:pPr>
      <w:r w:rsidRPr="00233970">
        <w:rPr>
          <w:rFonts w:ascii="Arial" w:eastAsia="Times New Roman" w:hAnsi="Arial" w:cs="Arial"/>
          <w:b/>
          <w:szCs w:val="20"/>
        </w:rPr>
        <w:t>CS-005</w:t>
      </w:r>
      <w:r w:rsidRPr="00233970">
        <w:rPr>
          <w:rFonts w:ascii="Arial" w:eastAsia="Times New Roman" w:hAnsi="Arial" w:cs="Arial"/>
          <w:b/>
          <w:szCs w:val="20"/>
        </w:rPr>
        <w:tab/>
      </w:r>
      <w:r w:rsidRPr="00233970">
        <w:rPr>
          <w:rFonts w:ascii="Arial" w:eastAsia="Times New Roman" w:hAnsi="Arial" w:cs="Arial"/>
          <w:b/>
          <w:szCs w:val="20"/>
        </w:rPr>
        <w:tab/>
        <w:t>Fundamentals of Computing</w:t>
      </w:r>
    </w:p>
    <w:p w:rsidR="009E4BA4" w:rsidRPr="00233970" w:rsidRDefault="009E4BA4" w:rsidP="009E4BA4">
      <w:pPr>
        <w:spacing w:after="0" w:line="240" w:lineRule="auto"/>
        <w:rPr>
          <w:rFonts w:ascii="Arial" w:eastAsia="Times New Roman" w:hAnsi="Arial" w:cs="Arial"/>
          <w:b/>
          <w:color w:val="4F6228" w:themeColor="accent3" w:themeShade="80"/>
          <w:szCs w:val="20"/>
        </w:rPr>
      </w:pPr>
      <w:r>
        <w:rPr>
          <w:rFonts w:ascii="Arial" w:eastAsia="Times New Roman" w:hAnsi="Arial" w:cs="Arial"/>
          <w:b/>
          <w:color w:val="4F6228" w:themeColor="accent3" w:themeShade="80"/>
          <w:szCs w:val="20"/>
        </w:rPr>
        <w:t>*</w:t>
      </w:r>
      <w:r w:rsidRPr="00233970">
        <w:rPr>
          <w:rFonts w:ascii="Arial" w:eastAsia="Times New Roman" w:hAnsi="Arial" w:cs="Arial"/>
          <w:b/>
          <w:color w:val="4F6228" w:themeColor="accent3" w:themeShade="80"/>
          <w:szCs w:val="20"/>
        </w:rPr>
        <w:t>CS/MA-015</w:t>
      </w:r>
      <w:r w:rsidRPr="00233970">
        <w:rPr>
          <w:rFonts w:ascii="Arial" w:eastAsia="Times New Roman" w:hAnsi="Arial" w:cs="Arial"/>
          <w:b/>
          <w:color w:val="4F6228" w:themeColor="accent3" w:themeShade="80"/>
          <w:szCs w:val="20"/>
        </w:rPr>
        <w:tab/>
      </w:r>
      <w:r w:rsidRPr="00233970">
        <w:rPr>
          <w:rFonts w:ascii="Arial" w:eastAsia="Times New Roman" w:hAnsi="Arial" w:cs="Arial"/>
          <w:b/>
          <w:color w:val="4F6228" w:themeColor="accent3" w:themeShade="80"/>
          <w:szCs w:val="20"/>
        </w:rPr>
        <w:tab/>
        <w:t>Discrete Mathematics</w:t>
      </w:r>
    </w:p>
    <w:p w:rsidR="009E4BA4" w:rsidRPr="007F2E04" w:rsidRDefault="009E4BA4" w:rsidP="009E4BA4">
      <w:pPr>
        <w:spacing w:after="0" w:line="240" w:lineRule="auto"/>
        <w:rPr>
          <w:rFonts w:ascii="Arial" w:eastAsia="Times New Roman" w:hAnsi="Arial" w:cs="Arial"/>
          <w:b/>
          <w:color w:val="1F497D" w:themeColor="text2"/>
          <w:szCs w:val="20"/>
        </w:rPr>
      </w:pPr>
      <w:r w:rsidRPr="007F2E04">
        <w:rPr>
          <w:rFonts w:ascii="Arial" w:eastAsia="Times New Roman" w:hAnsi="Arial" w:cs="Arial"/>
          <w:b/>
          <w:color w:val="1F497D" w:themeColor="text2"/>
          <w:szCs w:val="20"/>
        </w:rPr>
        <w:t>MA-004</w:t>
      </w:r>
      <w:r w:rsidRPr="007F2E04">
        <w:rPr>
          <w:rFonts w:ascii="Arial" w:eastAsia="Times New Roman" w:hAnsi="Arial" w:cs="Arial"/>
          <w:b/>
          <w:color w:val="1F497D" w:themeColor="text2"/>
          <w:szCs w:val="20"/>
        </w:rPr>
        <w:tab/>
      </w:r>
      <w:r w:rsidRPr="007F2E04">
        <w:rPr>
          <w:rFonts w:ascii="Arial" w:eastAsia="Times New Roman" w:hAnsi="Arial" w:cs="Arial"/>
          <w:b/>
          <w:color w:val="1F497D" w:themeColor="text2"/>
          <w:szCs w:val="20"/>
        </w:rPr>
        <w:tab/>
        <w:t>Mathematics in Context</w:t>
      </w:r>
    </w:p>
    <w:p w:rsidR="009E4BA4" w:rsidRPr="00233970" w:rsidRDefault="009E4BA4" w:rsidP="009E4BA4">
      <w:pPr>
        <w:spacing w:after="0" w:line="240" w:lineRule="auto"/>
        <w:rPr>
          <w:rFonts w:ascii="Arial" w:eastAsia="Times New Roman" w:hAnsi="Arial" w:cs="Arial"/>
          <w:b/>
          <w:color w:val="4F6228" w:themeColor="accent3" w:themeShade="80"/>
          <w:szCs w:val="20"/>
        </w:rPr>
      </w:pPr>
      <w:r>
        <w:rPr>
          <w:rFonts w:ascii="Arial" w:eastAsia="Times New Roman" w:hAnsi="Arial" w:cs="Arial"/>
          <w:b/>
          <w:color w:val="4F6228" w:themeColor="accent3" w:themeShade="80"/>
          <w:szCs w:val="20"/>
        </w:rPr>
        <w:t>*</w:t>
      </w:r>
      <w:r w:rsidRPr="00233970">
        <w:rPr>
          <w:rFonts w:ascii="Arial" w:eastAsia="Times New Roman" w:hAnsi="Arial" w:cs="Arial"/>
          <w:b/>
          <w:color w:val="4F6228" w:themeColor="accent3" w:themeShade="80"/>
          <w:szCs w:val="20"/>
        </w:rPr>
        <w:t>MA-005</w:t>
      </w:r>
      <w:r w:rsidRPr="00233970">
        <w:rPr>
          <w:rFonts w:ascii="Arial" w:eastAsia="Times New Roman" w:hAnsi="Arial" w:cs="Arial"/>
          <w:b/>
          <w:color w:val="4F6228" w:themeColor="accent3" w:themeShade="80"/>
          <w:szCs w:val="20"/>
        </w:rPr>
        <w:tab/>
      </w:r>
      <w:r w:rsidRPr="00233970">
        <w:rPr>
          <w:rFonts w:ascii="Arial" w:eastAsia="Times New Roman" w:hAnsi="Arial" w:cs="Arial"/>
          <w:b/>
          <w:color w:val="4F6228" w:themeColor="accent3" w:themeShade="80"/>
          <w:szCs w:val="20"/>
        </w:rPr>
        <w:tab/>
        <w:t>Statistics</w:t>
      </w:r>
    </w:p>
    <w:p w:rsidR="009E4BA4" w:rsidRPr="007F2E04" w:rsidRDefault="009E4BA4" w:rsidP="009E4BA4">
      <w:pPr>
        <w:spacing w:after="0" w:line="240" w:lineRule="auto"/>
        <w:rPr>
          <w:rFonts w:ascii="Arial" w:eastAsia="Times New Roman" w:hAnsi="Arial" w:cs="Arial"/>
          <w:b/>
          <w:szCs w:val="20"/>
        </w:rPr>
      </w:pPr>
      <w:r>
        <w:rPr>
          <w:rFonts w:ascii="Calibri" w:eastAsia="Times New Roman" w:hAnsi="Calibri" w:cs="Arial"/>
          <w:b/>
          <w:szCs w:val="20"/>
        </w:rPr>
        <w:t>‡</w:t>
      </w:r>
      <w:r w:rsidRPr="007F2E04">
        <w:rPr>
          <w:rFonts w:ascii="Arial" w:eastAsia="Times New Roman" w:hAnsi="Arial" w:cs="Arial"/>
          <w:b/>
          <w:szCs w:val="20"/>
        </w:rPr>
        <w:t>MA-007</w:t>
      </w:r>
      <w:r w:rsidRPr="007F2E04">
        <w:rPr>
          <w:rFonts w:ascii="Arial" w:eastAsia="Times New Roman" w:hAnsi="Arial" w:cs="Arial"/>
          <w:b/>
          <w:szCs w:val="20"/>
        </w:rPr>
        <w:tab/>
      </w:r>
      <w:r w:rsidRPr="007F2E04">
        <w:rPr>
          <w:rFonts w:ascii="Arial" w:eastAsia="Times New Roman" w:hAnsi="Arial" w:cs="Arial"/>
          <w:b/>
          <w:szCs w:val="20"/>
        </w:rPr>
        <w:tab/>
        <w:t>Finite Mathematics</w:t>
      </w:r>
    </w:p>
    <w:p w:rsidR="009E4BA4" w:rsidRPr="001A001C" w:rsidRDefault="009E4BA4" w:rsidP="009E4BA4">
      <w:pPr>
        <w:spacing w:after="0" w:line="240" w:lineRule="auto"/>
        <w:rPr>
          <w:rFonts w:ascii="Arial" w:eastAsia="Times New Roman" w:hAnsi="Arial" w:cs="Arial"/>
          <w:b/>
          <w:color w:val="C00000"/>
          <w:szCs w:val="20"/>
        </w:rPr>
      </w:pPr>
      <w:r>
        <w:rPr>
          <w:rFonts w:ascii="Arial" w:eastAsia="Times New Roman" w:hAnsi="Arial" w:cs="Arial"/>
          <w:b/>
          <w:color w:val="C00000"/>
          <w:szCs w:val="20"/>
        </w:rPr>
        <w:t>*</w:t>
      </w:r>
      <w:r w:rsidRPr="001A001C">
        <w:rPr>
          <w:rFonts w:ascii="Arial" w:eastAsia="Times New Roman" w:hAnsi="Arial" w:cs="Arial"/>
          <w:b/>
          <w:color w:val="C00000"/>
          <w:szCs w:val="20"/>
        </w:rPr>
        <w:t>MA-008</w:t>
      </w:r>
      <w:r w:rsidRPr="001A001C">
        <w:rPr>
          <w:rFonts w:ascii="Arial" w:eastAsia="Times New Roman" w:hAnsi="Arial" w:cs="Arial"/>
          <w:b/>
          <w:color w:val="C00000"/>
          <w:szCs w:val="20"/>
        </w:rPr>
        <w:tab/>
      </w:r>
      <w:r w:rsidRPr="001A001C">
        <w:rPr>
          <w:rFonts w:ascii="Arial" w:eastAsia="Times New Roman" w:hAnsi="Arial" w:cs="Arial"/>
          <w:b/>
          <w:color w:val="C00000"/>
          <w:szCs w:val="20"/>
        </w:rPr>
        <w:tab/>
        <w:t>Functions and Models</w:t>
      </w:r>
    </w:p>
    <w:p w:rsidR="009E4BA4" w:rsidRPr="00233970" w:rsidRDefault="009E4BA4" w:rsidP="009E4BA4">
      <w:pPr>
        <w:spacing w:after="0" w:line="240" w:lineRule="auto"/>
        <w:rPr>
          <w:rFonts w:ascii="Arial" w:eastAsia="Times New Roman" w:hAnsi="Arial" w:cs="Arial"/>
          <w:b/>
          <w:color w:val="4F6228" w:themeColor="accent3" w:themeShade="80"/>
          <w:szCs w:val="20"/>
        </w:rPr>
      </w:pPr>
      <w:r>
        <w:rPr>
          <w:rFonts w:ascii="Arial" w:eastAsia="Times New Roman" w:hAnsi="Arial" w:cs="Arial"/>
          <w:b/>
          <w:color w:val="4F6228" w:themeColor="accent3" w:themeShade="80"/>
          <w:szCs w:val="20"/>
        </w:rPr>
        <w:t>*</w:t>
      </w:r>
      <w:r w:rsidRPr="00233970">
        <w:rPr>
          <w:rFonts w:ascii="Arial" w:eastAsia="Times New Roman" w:hAnsi="Arial" w:cs="Arial"/>
          <w:b/>
          <w:color w:val="4F6228" w:themeColor="accent3" w:themeShade="80"/>
          <w:szCs w:val="20"/>
        </w:rPr>
        <w:t>MA-009</w:t>
      </w:r>
      <w:r w:rsidRPr="00233970">
        <w:rPr>
          <w:rFonts w:ascii="Arial" w:eastAsia="Times New Roman" w:hAnsi="Arial" w:cs="Arial"/>
          <w:b/>
          <w:color w:val="4F6228" w:themeColor="accent3" w:themeShade="80"/>
          <w:szCs w:val="20"/>
        </w:rPr>
        <w:tab/>
      </w:r>
      <w:r w:rsidRPr="00233970">
        <w:rPr>
          <w:rFonts w:ascii="Arial" w:eastAsia="Times New Roman" w:hAnsi="Arial" w:cs="Arial"/>
          <w:b/>
          <w:color w:val="4F6228" w:themeColor="accent3" w:themeShade="80"/>
          <w:szCs w:val="20"/>
        </w:rPr>
        <w:tab/>
        <w:t>Calculus I</w:t>
      </w:r>
    </w:p>
    <w:p w:rsidR="009E4BA4" w:rsidRPr="00233970" w:rsidRDefault="009E4BA4" w:rsidP="009E4BA4">
      <w:pPr>
        <w:spacing w:after="0" w:line="240" w:lineRule="auto"/>
        <w:rPr>
          <w:rFonts w:ascii="Arial" w:eastAsia="Times New Roman" w:hAnsi="Arial" w:cs="Arial"/>
          <w:b/>
          <w:color w:val="4F6228" w:themeColor="accent3" w:themeShade="80"/>
          <w:szCs w:val="20"/>
        </w:rPr>
      </w:pPr>
      <w:r>
        <w:rPr>
          <w:rFonts w:ascii="Arial" w:eastAsia="Times New Roman" w:hAnsi="Arial" w:cs="Arial"/>
          <w:b/>
          <w:color w:val="4F6228" w:themeColor="accent3" w:themeShade="80"/>
          <w:szCs w:val="20"/>
        </w:rPr>
        <w:t>*</w:t>
      </w:r>
      <w:r w:rsidRPr="00233970">
        <w:rPr>
          <w:rFonts w:ascii="Arial" w:eastAsia="Times New Roman" w:hAnsi="Arial" w:cs="Arial"/>
          <w:b/>
          <w:color w:val="4F6228" w:themeColor="accent3" w:themeShade="80"/>
          <w:szCs w:val="20"/>
        </w:rPr>
        <w:t>MA-010</w:t>
      </w:r>
      <w:r w:rsidRPr="00233970">
        <w:rPr>
          <w:rFonts w:ascii="Arial" w:eastAsia="Times New Roman" w:hAnsi="Arial" w:cs="Arial"/>
          <w:b/>
          <w:color w:val="4F6228" w:themeColor="accent3" w:themeShade="80"/>
          <w:szCs w:val="20"/>
        </w:rPr>
        <w:tab/>
      </w:r>
      <w:r w:rsidRPr="00233970">
        <w:rPr>
          <w:rFonts w:ascii="Arial" w:eastAsia="Times New Roman" w:hAnsi="Arial" w:cs="Arial"/>
          <w:b/>
          <w:color w:val="4F6228" w:themeColor="accent3" w:themeShade="80"/>
          <w:szCs w:val="20"/>
        </w:rPr>
        <w:tab/>
        <w:t>Calculus II</w:t>
      </w:r>
    </w:p>
    <w:p w:rsidR="009E4BA4" w:rsidRPr="00233970" w:rsidRDefault="009E4BA4" w:rsidP="009E4BA4">
      <w:pPr>
        <w:spacing w:after="0" w:line="240" w:lineRule="auto"/>
        <w:rPr>
          <w:rFonts w:ascii="Arial" w:eastAsia="Times New Roman" w:hAnsi="Arial" w:cs="Arial"/>
          <w:b/>
          <w:color w:val="C00000"/>
          <w:szCs w:val="20"/>
        </w:rPr>
      </w:pPr>
      <w:r w:rsidRPr="00233970">
        <w:rPr>
          <w:rFonts w:ascii="Arial" w:eastAsia="Times New Roman" w:hAnsi="Arial" w:cs="Arial"/>
          <w:b/>
          <w:color w:val="C00000"/>
          <w:szCs w:val="20"/>
        </w:rPr>
        <w:t>MA-019</w:t>
      </w:r>
      <w:r w:rsidRPr="00233970">
        <w:rPr>
          <w:rFonts w:ascii="Arial" w:eastAsia="Times New Roman" w:hAnsi="Arial" w:cs="Arial"/>
          <w:b/>
          <w:color w:val="C00000"/>
          <w:szCs w:val="20"/>
        </w:rPr>
        <w:tab/>
      </w:r>
      <w:r w:rsidRPr="00233970">
        <w:rPr>
          <w:rFonts w:ascii="Arial" w:eastAsia="Times New Roman" w:hAnsi="Arial" w:cs="Arial"/>
          <w:b/>
          <w:color w:val="C00000"/>
          <w:szCs w:val="20"/>
        </w:rPr>
        <w:tab/>
        <w:t>Multivariable Calculus</w:t>
      </w:r>
    </w:p>
    <w:p w:rsidR="009E4BA4" w:rsidRPr="00233970" w:rsidRDefault="009E4BA4" w:rsidP="009E4BA4">
      <w:pPr>
        <w:spacing w:after="0" w:line="240" w:lineRule="auto"/>
        <w:rPr>
          <w:rFonts w:ascii="Arial" w:eastAsia="Times New Roman" w:hAnsi="Arial" w:cs="Arial"/>
          <w:b/>
          <w:color w:val="1F497D" w:themeColor="text2"/>
          <w:szCs w:val="20"/>
        </w:rPr>
      </w:pPr>
      <w:r w:rsidRPr="00233970">
        <w:rPr>
          <w:rFonts w:ascii="Arial" w:eastAsia="Times New Roman" w:hAnsi="Arial" w:cs="Arial"/>
          <w:b/>
          <w:color w:val="1F497D" w:themeColor="text2"/>
          <w:szCs w:val="20"/>
        </w:rPr>
        <w:t>MA-165</w:t>
      </w:r>
      <w:r w:rsidRPr="00233970">
        <w:rPr>
          <w:rFonts w:ascii="Arial" w:eastAsia="Times New Roman" w:hAnsi="Arial" w:cs="Arial"/>
          <w:b/>
          <w:color w:val="1F497D" w:themeColor="text2"/>
          <w:szCs w:val="20"/>
        </w:rPr>
        <w:tab/>
      </w:r>
      <w:r w:rsidRPr="00233970">
        <w:rPr>
          <w:rFonts w:ascii="Arial" w:eastAsia="Times New Roman" w:hAnsi="Arial" w:cs="Arial"/>
          <w:b/>
          <w:color w:val="1F497D" w:themeColor="text2"/>
          <w:szCs w:val="20"/>
        </w:rPr>
        <w:tab/>
        <w:t>Fundamentals of Mathematics II</w:t>
      </w:r>
    </w:p>
    <w:p w:rsidR="009E4BA4" w:rsidRPr="00233970" w:rsidRDefault="009E4BA4" w:rsidP="009E4BA4">
      <w:pPr>
        <w:spacing w:after="0" w:line="240" w:lineRule="auto"/>
        <w:rPr>
          <w:rFonts w:ascii="Arial" w:eastAsia="Times New Roman" w:hAnsi="Arial" w:cs="Arial"/>
          <w:b/>
          <w:color w:val="C00000"/>
          <w:szCs w:val="20"/>
        </w:rPr>
      </w:pPr>
      <w:r w:rsidRPr="00233970">
        <w:rPr>
          <w:rFonts w:ascii="Arial" w:eastAsia="Times New Roman" w:hAnsi="Arial" w:cs="Arial"/>
          <w:b/>
          <w:color w:val="C00000"/>
          <w:szCs w:val="20"/>
        </w:rPr>
        <w:t>PHS-007</w:t>
      </w:r>
      <w:r w:rsidRPr="00233970">
        <w:rPr>
          <w:rFonts w:ascii="Arial" w:eastAsia="Times New Roman" w:hAnsi="Arial" w:cs="Arial"/>
          <w:b/>
          <w:color w:val="C00000"/>
          <w:szCs w:val="20"/>
        </w:rPr>
        <w:tab/>
      </w:r>
      <w:r w:rsidRPr="00233970">
        <w:rPr>
          <w:rFonts w:ascii="Arial" w:eastAsia="Times New Roman" w:hAnsi="Arial" w:cs="Arial"/>
          <w:b/>
          <w:color w:val="C00000"/>
          <w:szCs w:val="20"/>
        </w:rPr>
        <w:tab/>
        <w:t>Astronomy: Discovering the Universe</w:t>
      </w:r>
    </w:p>
    <w:p w:rsidR="009E4BA4" w:rsidRPr="00233970" w:rsidRDefault="009E4BA4" w:rsidP="009E4BA4">
      <w:pPr>
        <w:spacing w:after="0" w:line="240" w:lineRule="auto"/>
        <w:rPr>
          <w:rFonts w:ascii="Arial" w:eastAsia="Times New Roman" w:hAnsi="Arial" w:cs="Arial"/>
          <w:b/>
          <w:color w:val="4F6228" w:themeColor="accent3" w:themeShade="80"/>
          <w:szCs w:val="20"/>
        </w:rPr>
      </w:pPr>
      <w:r w:rsidRPr="00233970">
        <w:rPr>
          <w:rFonts w:ascii="Arial" w:eastAsia="Times New Roman" w:hAnsi="Arial" w:cs="Arial"/>
          <w:b/>
          <w:color w:val="4F6228" w:themeColor="accent3" w:themeShade="80"/>
          <w:szCs w:val="20"/>
        </w:rPr>
        <w:t>PHS-011</w:t>
      </w:r>
      <w:r w:rsidRPr="00233970">
        <w:rPr>
          <w:rFonts w:ascii="Arial" w:eastAsia="Times New Roman" w:hAnsi="Arial" w:cs="Arial"/>
          <w:b/>
          <w:color w:val="4F6228" w:themeColor="accent3" w:themeShade="80"/>
          <w:szCs w:val="20"/>
        </w:rPr>
        <w:tab/>
      </w:r>
      <w:r w:rsidRPr="00233970">
        <w:rPr>
          <w:rFonts w:ascii="Arial" w:eastAsia="Times New Roman" w:hAnsi="Arial" w:cs="Arial"/>
          <w:b/>
          <w:color w:val="4F6228" w:themeColor="accent3" w:themeShade="80"/>
          <w:szCs w:val="20"/>
        </w:rPr>
        <w:tab/>
        <w:t>Introduction to Physical Science</w:t>
      </w:r>
    </w:p>
    <w:p w:rsidR="009E4BA4" w:rsidRPr="00233970" w:rsidRDefault="009E4BA4" w:rsidP="009E4BA4">
      <w:pPr>
        <w:spacing w:after="0" w:line="240" w:lineRule="auto"/>
        <w:rPr>
          <w:rFonts w:ascii="Arial" w:eastAsia="Times New Roman" w:hAnsi="Arial" w:cs="Arial"/>
          <w:b/>
          <w:szCs w:val="20"/>
        </w:rPr>
      </w:pPr>
      <w:r w:rsidRPr="00233970">
        <w:rPr>
          <w:rFonts w:ascii="Arial" w:eastAsia="Times New Roman" w:hAnsi="Arial" w:cs="Arial"/>
          <w:b/>
          <w:szCs w:val="20"/>
        </w:rPr>
        <w:t>PHS/PHY-017</w:t>
      </w:r>
      <w:r w:rsidRPr="00233970">
        <w:rPr>
          <w:rFonts w:ascii="Arial" w:eastAsia="Times New Roman" w:hAnsi="Arial" w:cs="Arial"/>
          <w:b/>
          <w:szCs w:val="20"/>
        </w:rPr>
        <w:tab/>
      </w:r>
      <w:r w:rsidRPr="00233970">
        <w:rPr>
          <w:rFonts w:ascii="Arial" w:eastAsia="Times New Roman" w:hAnsi="Arial" w:cs="Arial"/>
          <w:b/>
          <w:szCs w:val="20"/>
        </w:rPr>
        <w:tab/>
        <w:t xml:space="preserve">Physics of Music </w:t>
      </w:r>
    </w:p>
    <w:p w:rsidR="009E4BA4" w:rsidRPr="00B752C5" w:rsidRDefault="009E4BA4" w:rsidP="009E4BA4">
      <w:pPr>
        <w:spacing w:after="0" w:line="240" w:lineRule="auto"/>
        <w:rPr>
          <w:rFonts w:ascii="Arial" w:eastAsia="Times New Roman" w:hAnsi="Arial" w:cs="Arial"/>
          <w:b/>
          <w:color w:val="C00000"/>
          <w:szCs w:val="20"/>
        </w:rPr>
      </w:pPr>
      <w:r w:rsidRPr="00B752C5">
        <w:rPr>
          <w:rFonts w:ascii="Arial" w:eastAsia="Times New Roman" w:hAnsi="Arial" w:cs="Arial"/>
          <w:b/>
          <w:color w:val="C00000"/>
          <w:szCs w:val="20"/>
        </w:rPr>
        <w:t>PHY-011</w:t>
      </w:r>
      <w:r w:rsidRPr="00B752C5">
        <w:rPr>
          <w:rFonts w:ascii="Arial" w:eastAsia="Times New Roman" w:hAnsi="Arial" w:cs="Arial"/>
          <w:b/>
          <w:color w:val="C00000"/>
          <w:szCs w:val="20"/>
        </w:rPr>
        <w:tab/>
      </w:r>
      <w:r w:rsidRPr="00B752C5">
        <w:rPr>
          <w:rFonts w:ascii="Arial" w:eastAsia="Times New Roman" w:hAnsi="Arial" w:cs="Arial"/>
          <w:b/>
          <w:color w:val="C00000"/>
          <w:szCs w:val="20"/>
        </w:rPr>
        <w:tab/>
        <w:t>Physics for Life Sciences I</w:t>
      </w:r>
    </w:p>
    <w:p w:rsidR="009E4BA4" w:rsidRPr="00233970" w:rsidRDefault="009E4BA4" w:rsidP="009E4BA4">
      <w:pPr>
        <w:spacing w:after="0" w:line="240" w:lineRule="auto"/>
        <w:rPr>
          <w:rFonts w:ascii="Arial" w:eastAsia="Times New Roman" w:hAnsi="Arial" w:cs="Arial"/>
          <w:b/>
          <w:color w:val="1F497D" w:themeColor="text2"/>
          <w:szCs w:val="20"/>
        </w:rPr>
      </w:pPr>
      <w:r w:rsidRPr="00233970">
        <w:rPr>
          <w:rFonts w:ascii="Arial" w:eastAsia="Times New Roman" w:hAnsi="Arial" w:cs="Arial"/>
          <w:b/>
          <w:color w:val="1F497D" w:themeColor="text2"/>
          <w:szCs w:val="20"/>
        </w:rPr>
        <w:t>PHY-013</w:t>
      </w:r>
      <w:r w:rsidRPr="00233970">
        <w:rPr>
          <w:rFonts w:ascii="Arial" w:eastAsia="Times New Roman" w:hAnsi="Arial" w:cs="Arial"/>
          <w:b/>
          <w:color w:val="1F497D" w:themeColor="text2"/>
          <w:szCs w:val="20"/>
        </w:rPr>
        <w:tab/>
      </w:r>
      <w:r w:rsidRPr="00233970">
        <w:rPr>
          <w:rFonts w:ascii="Arial" w:eastAsia="Times New Roman" w:hAnsi="Arial" w:cs="Arial"/>
          <w:b/>
          <w:color w:val="1F497D" w:themeColor="text2"/>
          <w:szCs w:val="20"/>
        </w:rPr>
        <w:tab/>
        <w:t>Physics for Life Sciences II</w:t>
      </w:r>
    </w:p>
    <w:p w:rsidR="009E4BA4" w:rsidRPr="00233970" w:rsidRDefault="009E4BA4" w:rsidP="009E4BA4">
      <w:pPr>
        <w:spacing w:after="0" w:line="240" w:lineRule="auto"/>
        <w:rPr>
          <w:rFonts w:ascii="Arial" w:eastAsia="Times New Roman" w:hAnsi="Arial" w:cs="Arial"/>
          <w:b/>
          <w:color w:val="C00000"/>
          <w:szCs w:val="20"/>
        </w:rPr>
      </w:pPr>
      <w:r>
        <w:rPr>
          <w:rFonts w:ascii="Arial" w:eastAsia="Times New Roman" w:hAnsi="Arial" w:cs="Arial"/>
          <w:b/>
          <w:color w:val="C00000"/>
          <w:szCs w:val="20"/>
        </w:rPr>
        <w:t>*</w:t>
      </w:r>
      <w:r w:rsidRPr="00233970">
        <w:rPr>
          <w:rFonts w:ascii="Arial" w:eastAsia="Times New Roman" w:hAnsi="Arial" w:cs="Arial"/>
          <w:b/>
          <w:color w:val="C00000"/>
          <w:szCs w:val="20"/>
        </w:rPr>
        <w:t>PHY-021</w:t>
      </w:r>
      <w:r w:rsidRPr="00233970">
        <w:rPr>
          <w:rFonts w:ascii="Arial" w:eastAsia="Times New Roman" w:hAnsi="Arial" w:cs="Arial"/>
          <w:b/>
          <w:color w:val="C00000"/>
          <w:szCs w:val="20"/>
        </w:rPr>
        <w:tab/>
      </w:r>
      <w:r w:rsidRPr="00233970">
        <w:rPr>
          <w:rFonts w:ascii="Arial" w:eastAsia="Times New Roman" w:hAnsi="Arial" w:cs="Arial"/>
          <w:b/>
          <w:color w:val="C00000"/>
          <w:szCs w:val="20"/>
        </w:rPr>
        <w:tab/>
        <w:t>General Physics I: Mechanics and Heat</w:t>
      </w:r>
    </w:p>
    <w:p w:rsidR="009E4BA4" w:rsidRPr="00233970" w:rsidRDefault="009E4BA4" w:rsidP="009E4BA4">
      <w:pPr>
        <w:spacing w:after="0" w:line="240" w:lineRule="auto"/>
        <w:rPr>
          <w:rFonts w:ascii="Arial" w:eastAsia="Times New Roman" w:hAnsi="Arial" w:cs="Arial"/>
          <w:b/>
          <w:color w:val="1F497D" w:themeColor="text2"/>
          <w:szCs w:val="20"/>
        </w:rPr>
      </w:pPr>
      <w:r w:rsidRPr="00233970">
        <w:rPr>
          <w:rFonts w:ascii="Arial" w:eastAsia="Times New Roman" w:hAnsi="Arial" w:cs="Arial"/>
          <w:b/>
          <w:color w:val="1F497D" w:themeColor="text2"/>
          <w:szCs w:val="20"/>
        </w:rPr>
        <w:t>PHY-023</w:t>
      </w:r>
      <w:r w:rsidRPr="00233970">
        <w:rPr>
          <w:rFonts w:ascii="Arial" w:eastAsia="Times New Roman" w:hAnsi="Arial" w:cs="Arial"/>
          <w:b/>
          <w:color w:val="1F497D" w:themeColor="text2"/>
          <w:szCs w:val="20"/>
        </w:rPr>
        <w:tab/>
      </w:r>
      <w:r w:rsidRPr="00233970">
        <w:rPr>
          <w:rFonts w:ascii="Arial" w:eastAsia="Times New Roman" w:hAnsi="Arial" w:cs="Arial"/>
          <w:b/>
          <w:color w:val="1F497D" w:themeColor="text2"/>
          <w:szCs w:val="20"/>
        </w:rPr>
        <w:tab/>
        <w:t>General Physics II: Electricity, Magnetism and Light</w:t>
      </w:r>
    </w:p>
    <w:p w:rsidR="009E4BA4" w:rsidRPr="00233970" w:rsidRDefault="009E4BA4" w:rsidP="009E4BA4">
      <w:pPr>
        <w:spacing w:after="0" w:line="240" w:lineRule="auto"/>
        <w:rPr>
          <w:rFonts w:ascii="Arial" w:eastAsia="Times New Roman" w:hAnsi="Arial" w:cs="Arial"/>
          <w:b/>
          <w:szCs w:val="20"/>
        </w:rPr>
      </w:pPr>
      <w:r w:rsidRPr="00233970">
        <w:rPr>
          <w:rFonts w:ascii="Arial" w:eastAsia="Times New Roman" w:hAnsi="Arial" w:cs="Arial"/>
          <w:b/>
          <w:szCs w:val="20"/>
        </w:rPr>
        <w:t>POL-040</w:t>
      </w:r>
      <w:r w:rsidRPr="00233970">
        <w:rPr>
          <w:rFonts w:ascii="Arial" w:eastAsia="Times New Roman" w:hAnsi="Arial" w:cs="Arial"/>
          <w:b/>
          <w:szCs w:val="20"/>
        </w:rPr>
        <w:tab/>
      </w:r>
      <w:r w:rsidRPr="00233970">
        <w:rPr>
          <w:rFonts w:ascii="Arial" w:eastAsia="Times New Roman" w:hAnsi="Arial" w:cs="Arial"/>
          <w:b/>
          <w:szCs w:val="20"/>
        </w:rPr>
        <w:tab/>
        <w:t>Empirical Political Research</w:t>
      </w:r>
    </w:p>
    <w:p w:rsidR="009E4BA4" w:rsidRPr="00233970" w:rsidRDefault="009E4BA4" w:rsidP="009E4BA4">
      <w:pPr>
        <w:spacing w:after="0" w:line="240" w:lineRule="auto"/>
        <w:rPr>
          <w:rFonts w:ascii="Arial" w:eastAsia="Times New Roman" w:hAnsi="Arial" w:cs="Arial"/>
          <w:b/>
          <w:color w:val="1F497D" w:themeColor="text2"/>
          <w:szCs w:val="20"/>
        </w:rPr>
      </w:pPr>
      <w:r w:rsidRPr="00233970">
        <w:rPr>
          <w:rFonts w:ascii="Arial" w:eastAsia="Times New Roman" w:hAnsi="Arial" w:cs="Arial"/>
          <w:b/>
          <w:color w:val="1F497D" w:themeColor="text2"/>
          <w:szCs w:val="20"/>
        </w:rPr>
        <w:t>SOC-107</w:t>
      </w:r>
      <w:r w:rsidRPr="00233970">
        <w:rPr>
          <w:rFonts w:ascii="Arial" w:eastAsia="Times New Roman" w:hAnsi="Arial" w:cs="Arial"/>
          <w:b/>
          <w:color w:val="1F497D" w:themeColor="text2"/>
          <w:szCs w:val="20"/>
        </w:rPr>
        <w:tab/>
      </w:r>
      <w:r w:rsidRPr="00233970">
        <w:rPr>
          <w:rFonts w:ascii="Arial" w:eastAsia="Times New Roman" w:hAnsi="Arial" w:cs="Arial"/>
          <w:b/>
          <w:color w:val="1F497D" w:themeColor="text2"/>
          <w:szCs w:val="20"/>
        </w:rPr>
        <w:tab/>
        <w:t>Qualitative and Quantitative Analysis with Lab</w:t>
      </w:r>
    </w:p>
    <w:p w:rsidR="009E4BA4" w:rsidRDefault="009E4BA4" w:rsidP="009E4BA4"/>
    <w:p w:rsidR="009E4BA4" w:rsidRDefault="009E4BA4" w:rsidP="009E4BA4">
      <w:r>
        <w:br w:type="page"/>
      </w:r>
    </w:p>
    <w:p w:rsidR="009E4BA4" w:rsidRPr="009E4BA4" w:rsidRDefault="009E4BA4" w:rsidP="009E4BA4">
      <w:pPr>
        <w:spacing w:after="0" w:line="240" w:lineRule="auto"/>
        <w:rPr>
          <w:rFonts w:ascii="Arial" w:eastAsia="Times New Roman" w:hAnsi="Arial" w:cs="Arial"/>
          <w:b/>
          <w:sz w:val="28"/>
          <w:szCs w:val="28"/>
        </w:rPr>
      </w:pPr>
      <w:r w:rsidRPr="009E4BA4">
        <w:rPr>
          <w:rFonts w:ascii="Arial" w:eastAsia="Times New Roman" w:hAnsi="Arial" w:cs="Arial"/>
          <w:b/>
          <w:sz w:val="28"/>
          <w:szCs w:val="28"/>
        </w:rPr>
        <w:lastRenderedPageBreak/>
        <w:t>Appendix 3:  Quantitative and Analytical Reasoning GE Courses in Westmont Major Programs</w:t>
      </w:r>
    </w:p>
    <w:p w:rsidR="009E4BA4" w:rsidRDefault="009E4BA4" w:rsidP="009E4BA4"/>
    <w:p w:rsidR="009E4BA4" w:rsidRPr="00531098" w:rsidRDefault="009E4BA4" w:rsidP="009E4BA4">
      <w:pPr>
        <w:spacing w:after="0" w:line="240" w:lineRule="auto"/>
        <w:rPr>
          <w:rFonts w:ascii="Arial" w:eastAsia="Times New Roman" w:hAnsi="Arial" w:cs="Arial"/>
          <w:i/>
          <w:szCs w:val="20"/>
        </w:rPr>
      </w:pPr>
      <w:r w:rsidRPr="00531098">
        <w:rPr>
          <w:rFonts w:ascii="Arial" w:eastAsia="Times New Roman" w:hAnsi="Arial" w:cs="Arial"/>
          <w:i/>
          <w:szCs w:val="20"/>
        </w:rPr>
        <w:t xml:space="preserve">Westmont majors that require </w:t>
      </w:r>
      <w:r>
        <w:rPr>
          <w:rFonts w:ascii="Arial" w:eastAsia="Times New Roman" w:hAnsi="Arial" w:cs="Arial"/>
          <w:i/>
          <w:szCs w:val="20"/>
        </w:rPr>
        <w:t>one or more QAR GE courses as part of the major program</w:t>
      </w:r>
    </w:p>
    <w:p w:rsidR="009E4BA4" w:rsidRPr="00531098" w:rsidRDefault="009E4BA4" w:rsidP="009E4BA4">
      <w:pPr>
        <w:spacing w:after="0" w:line="240" w:lineRule="auto"/>
        <w:rPr>
          <w:rFonts w:ascii="Arial" w:eastAsia="Times New Roman" w:hAnsi="Arial" w:cs="Arial"/>
          <w:b/>
          <w:sz w:val="8"/>
          <w:szCs w:val="8"/>
        </w:rPr>
      </w:pPr>
    </w:p>
    <w:p w:rsidR="009E4BA4" w:rsidRPr="009E4BA4" w:rsidRDefault="009A4BBE" w:rsidP="009E4BA4">
      <w:pPr>
        <w:pStyle w:val="NormalWeb"/>
        <w:spacing w:before="0" w:beforeAutospacing="0" w:after="0" w:afterAutospacing="0"/>
        <w:rPr>
          <w:rFonts w:ascii="Arial" w:hAnsi="Arial" w:cs="Arial"/>
        </w:rPr>
      </w:pPr>
      <w:hyperlink r:id="rId9" w:history="1">
        <w:r w:rsidR="009E4BA4" w:rsidRPr="009E4BA4">
          <w:rPr>
            <w:rStyle w:val="Hyperlink"/>
            <w:rFonts w:ascii="Arial" w:hAnsi="Arial" w:cs="Arial"/>
            <w:color w:val="auto"/>
            <w:u w:val="none"/>
          </w:rPr>
          <w:t>Biology (B.A., B.S.)</w:t>
        </w:r>
      </w:hyperlink>
      <w:r w:rsidR="009E4BA4" w:rsidRPr="009E4BA4">
        <w:rPr>
          <w:rFonts w:ascii="Arial" w:hAnsi="Arial" w:cs="Arial"/>
        </w:rPr>
        <w:t xml:space="preserve"> </w:t>
      </w:r>
    </w:p>
    <w:p w:rsidR="009E4BA4" w:rsidRPr="009E4BA4" w:rsidRDefault="009A4BBE" w:rsidP="009E4BA4">
      <w:pPr>
        <w:pStyle w:val="NormalWeb"/>
        <w:spacing w:before="0" w:beforeAutospacing="0" w:after="0" w:afterAutospacing="0"/>
        <w:rPr>
          <w:rFonts w:ascii="Arial" w:hAnsi="Arial" w:cs="Arial"/>
        </w:rPr>
      </w:pPr>
      <w:hyperlink r:id="rId10" w:history="1">
        <w:r w:rsidR="009E4BA4" w:rsidRPr="009E4BA4">
          <w:rPr>
            <w:rStyle w:val="Hyperlink"/>
            <w:rFonts w:ascii="Arial" w:hAnsi="Arial" w:cs="Arial"/>
            <w:color w:val="auto"/>
            <w:u w:val="none"/>
          </w:rPr>
          <w:t>Chemistry</w:t>
        </w:r>
      </w:hyperlink>
      <w:r w:rsidR="009E4BA4" w:rsidRPr="009E4BA4">
        <w:rPr>
          <w:rFonts w:ascii="Arial" w:hAnsi="Arial" w:cs="Arial"/>
        </w:rPr>
        <w:t xml:space="preserve"> </w:t>
      </w:r>
      <w:r w:rsidR="009E4BA4" w:rsidRPr="009E4BA4">
        <w:rPr>
          <w:rFonts w:ascii="Arial" w:hAnsi="Arial" w:cs="Arial"/>
        </w:rPr>
        <w:br/>
      </w:r>
      <w:hyperlink r:id="rId11" w:history="1">
        <w:r w:rsidR="009E4BA4" w:rsidRPr="009E4BA4">
          <w:rPr>
            <w:rStyle w:val="Hyperlink"/>
            <w:rFonts w:ascii="Arial" w:hAnsi="Arial" w:cs="Arial"/>
            <w:color w:val="auto"/>
            <w:u w:val="none"/>
          </w:rPr>
          <w:t>Computer Science (B.A., B.S.)</w:t>
        </w:r>
      </w:hyperlink>
      <w:r w:rsidR="009E4BA4" w:rsidRPr="009E4BA4">
        <w:rPr>
          <w:rFonts w:ascii="Arial" w:hAnsi="Arial" w:cs="Arial"/>
        </w:rPr>
        <w:br/>
      </w:r>
      <w:hyperlink r:id="rId12" w:history="1">
        <w:r w:rsidR="009E4BA4" w:rsidRPr="009E4BA4">
          <w:rPr>
            <w:rStyle w:val="Hyperlink"/>
            <w:rFonts w:ascii="Arial" w:hAnsi="Arial" w:cs="Arial"/>
            <w:color w:val="auto"/>
            <w:u w:val="none"/>
          </w:rPr>
          <w:t>Economics &amp; Business (B.A.)</w:t>
        </w:r>
      </w:hyperlink>
      <w:r w:rsidR="009E4BA4" w:rsidRPr="009E4BA4">
        <w:rPr>
          <w:rFonts w:ascii="Arial" w:hAnsi="Arial" w:cs="Arial"/>
        </w:rPr>
        <w:br/>
      </w:r>
      <w:hyperlink r:id="rId13" w:history="1">
        <w:r w:rsidR="009E4BA4" w:rsidRPr="009E4BA4">
          <w:rPr>
            <w:rStyle w:val="Hyperlink"/>
            <w:rFonts w:ascii="Arial" w:hAnsi="Arial" w:cs="Arial"/>
            <w:color w:val="auto"/>
            <w:u w:val="none"/>
          </w:rPr>
          <w:t>Engineering Physics (B.A., B.S.)</w:t>
        </w:r>
      </w:hyperlink>
      <w:r w:rsidR="009E4BA4" w:rsidRPr="009E4BA4">
        <w:rPr>
          <w:rFonts w:ascii="Arial" w:hAnsi="Arial" w:cs="Arial"/>
        </w:rPr>
        <w:t xml:space="preserve"> </w:t>
      </w:r>
      <w:r w:rsidR="009E4BA4" w:rsidRPr="009E4BA4">
        <w:rPr>
          <w:rFonts w:ascii="Arial" w:hAnsi="Arial" w:cs="Arial"/>
        </w:rPr>
        <w:br/>
      </w:r>
      <w:hyperlink r:id="rId14" w:history="1">
        <w:r w:rsidR="009E4BA4" w:rsidRPr="009E4BA4">
          <w:rPr>
            <w:rStyle w:val="Hyperlink"/>
            <w:rFonts w:ascii="Arial" w:hAnsi="Arial" w:cs="Arial"/>
            <w:color w:val="auto"/>
            <w:u w:val="none"/>
          </w:rPr>
          <w:t>Kinesiology (B.S.)</w:t>
        </w:r>
      </w:hyperlink>
      <w:r w:rsidR="009E4BA4" w:rsidRPr="009E4BA4">
        <w:rPr>
          <w:rFonts w:ascii="Arial" w:hAnsi="Arial" w:cs="Arial"/>
        </w:rPr>
        <w:t xml:space="preserve"> </w:t>
      </w:r>
    </w:p>
    <w:p w:rsidR="009E4BA4" w:rsidRPr="009E4BA4" w:rsidRDefault="009A4BBE" w:rsidP="009E4BA4">
      <w:pPr>
        <w:spacing w:after="0" w:line="240" w:lineRule="auto"/>
        <w:rPr>
          <w:rFonts w:ascii="Arial" w:hAnsi="Arial" w:cs="Arial"/>
          <w:sz w:val="24"/>
          <w:szCs w:val="24"/>
        </w:rPr>
      </w:pPr>
      <w:hyperlink r:id="rId15" w:history="1">
        <w:r w:rsidR="009E4BA4" w:rsidRPr="009E4BA4">
          <w:rPr>
            <w:rStyle w:val="Hyperlink"/>
            <w:rFonts w:ascii="Arial" w:hAnsi="Arial" w:cs="Arial"/>
            <w:color w:val="auto"/>
            <w:sz w:val="24"/>
            <w:szCs w:val="24"/>
            <w:u w:val="none"/>
          </w:rPr>
          <w:t>Liberal Studies (B.A.)</w:t>
        </w:r>
      </w:hyperlink>
      <w:r w:rsidR="009E4BA4" w:rsidRPr="009E4BA4">
        <w:rPr>
          <w:rFonts w:ascii="Arial" w:hAnsi="Arial" w:cs="Arial"/>
          <w:sz w:val="24"/>
          <w:szCs w:val="24"/>
        </w:rPr>
        <w:t xml:space="preserve"> </w:t>
      </w:r>
    </w:p>
    <w:p w:rsidR="009E4BA4" w:rsidRPr="009E4BA4" w:rsidRDefault="009A4BBE" w:rsidP="009E4BA4">
      <w:pPr>
        <w:spacing w:after="0" w:line="240" w:lineRule="auto"/>
        <w:rPr>
          <w:rFonts w:ascii="Arial" w:hAnsi="Arial" w:cs="Arial"/>
          <w:sz w:val="24"/>
          <w:szCs w:val="24"/>
        </w:rPr>
      </w:pPr>
      <w:hyperlink r:id="rId16" w:history="1">
        <w:r w:rsidR="009E4BA4" w:rsidRPr="009E4BA4">
          <w:rPr>
            <w:rStyle w:val="Hyperlink"/>
            <w:rFonts w:ascii="Arial" w:hAnsi="Arial" w:cs="Arial"/>
            <w:color w:val="auto"/>
            <w:sz w:val="24"/>
            <w:szCs w:val="24"/>
            <w:u w:val="none"/>
          </w:rPr>
          <w:t>Mathematics (B.A., B.S.)</w:t>
        </w:r>
      </w:hyperlink>
      <w:r w:rsidR="009E4BA4" w:rsidRPr="009E4BA4">
        <w:rPr>
          <w:rFonts w:ascii="Arial" w:hAnsi="Arial" w:cs="Arial"/>
          <w:sz w:val="24"/>
          <w:szCs w:val="24"/>
        </w:rPr>
        <w:t xml:space="preserve"> </w:t>
      </w:r>
    </w:p>
    <w:p w:rsidR="009E4BA4" w:rsidRPr="009E4BA4" w:rsidRDefault="009A4BBE" w:rsidP="009E4BA4">
      <w:pPr>
        <w:spacing w:after="0" w:line="240" w:lineRule="auto"/>
        <w:rPr>
          <w:rFonts w:ascii="Arial" w:hAnsi="Arial" w:cs="Arial"/>
          <w:sz w:val="24"/>
          <w:szCs w:val="24"/>
        </w:rPr>
      </w:pPr>
      <w:hyperlink r:id="rId17" w:history="1">
        <w:r w:rsidR="009E4BA4" w:rsidRPr="009E4BA4">
          <w:rPr>
            <w:rStyle w:val="Hyperlink"/>
            <w:rFonts w:ascii="Arial" w:hAnsi="Arial" w:cs="Arial"/>
            <w:color w:val="auto"/>
            <w:sz w:val="24"/>
            <w:szCs w:val="24"/>
            <w:u w:val="none"/>
          </w:rPr>
          <w:t>Music Education (B.M.E.)</w:t>
        </w:r>
      </w:hyperlink>
      <w:r w:rsidR="009E4BA4" w:rsidRPr="009E4BA4">
        <w:rPr>
          <w:rFonts w:ascii="Arial" w:hAnsi="Arial" w:cs="Arial"/>
          <w:sz w:val="24"/>
          <w:szCs w:val="24"/>
        </w:rPr>
        <w:t xml:space="preserve"> </w:t>
      </w:r>
      <w:r w:rsidR="009E4BA4" w:rsidRPr="009E4BA4">
        <w:rPr>
          <w:rFonts w:ascii="Arial" w:hAnsi="Arial" w:cs="Arial"/>
          <w:sz w:val="24"/>
          <w:szCs w:val="24"/>
        </w:rPr>
        <w:br/>
      </w:r>
      <w:hyperlink r:id="rId18" w:history="1">
        <w:r w:rsidR="009E4BA4" w:rsidRPr="009E4BA4">
          <w:rPr>
            <w:rStyle w:val="Hyperlink"/>
            <w:rFonts w:ascii="Arial" w:hAnsi="Arial" w:cs="Arial"/>
            <w:color w:val="auto"/>
            <w:sz w:val="24"/>
            <w:szCs w:val="24"/>
            <w:u w:val="none"/>
          </w:rPr>
          <w:t>Physics (B.A., B.S.)</w:t>
        </w:r>
      </w:hyperlink>
      <w:r w:rsidR="009E4BA4" w:rsidRPr="009E4BA4">
        <w:rPr>
          <w:rFonts w:ascii="Arial" w:hAnsi="Arial" w:cs="Arial"/>
          <w:sz w:val="24"/>
          <w:szCs w:val="24"/>
        </w:rPr>
        <w:br/>
      </w:r>
      <w:hyperlink r:id="rId19" w:history="1">
        <w:r w:rsidR="009E4BA4" w:rsidRPr="009E4BA4">
          <w:rPr>
            <w:rStyle w:val="Hyperlink"/>
            <w:rFonts w:ascii="Arial" w:hAnsi="Arial" w:cs="Arial"/>
            <w:color w:val="auto"/>
            <w:sz w:val="24"/>
            <w:szCs w:val="24"/>
            <w:u w:val="none"/>
          </w:rPr>
          <w:t>Political Science (B.A.)</w:t>
        </w:r>
      </w:hyperlink>
      <w:r w:rsidR="009E4BA4" w:rsidRPr="009E4BA4">
        <w:rPr>
          <w:rFonts w:ascii="Arial" w:hAnsi="Arial" w:cs="Arial"/>
          <w:sz w:val="24"/>
          <w:szCs w:val="24"/>
        </w:rPr>
        <w:t xml:space="preserve"> </w:t>
      </w:r>
    </w:p>
    <w:p w:rsidR="009E4BA4" w:rsidRPr="009E4BA4" w:rsidRDefault="009A4BBE" w:rsidP="009E4BA4">
      <w:pPr>
        <w:spacing w:after="0" w:line="240" w:lineRule="auto"/>
        <w:rPr>
          <w:rFonts w:ascii="Arial" w:hAnsi="Arial" w:cs="Arial"/>
          <w:sz w:val="24"/>
          <w:szCs w:val="24"/>
        </w:rPr>
      </w:pPr>
      <w:hyperlink r:id="rId20" w:history="1">
        <w:r w:rsidR="009E4BA4" w:rsidRPr="009E4BA4">
          <w:rPr>
            <w:rStyle w:val="Hyperlink"/>
            <w:rFonts w:ascii="Arial" w:hAnsi="Arial" w:cs="Arial"/>
            <w:color w:val="auto"/>
            <w:sz w:val="24"/>
            <w:szCs w:val="24"/>
            <w:u w:val="none"/>
          </w:rPr>
          <w:t>Psychology (B.A., B.S.)</w:t>
        </w:r>
      </w:hyperlink>
      <w:r w:rsidR="009E4BA4" w:rsidRPr="009E4BA4">
        <w:rPr>
          <w:rFonts w:ascii="Arial" w:hAnsi="Arial" w:cs="Arial"/>
          <w:sz w:val="24"/>
          <w:szCs w:val="24"/>
        </w:rPr>
        <w:t xml:space="preserve"> </w:t>
      </w:r>
      <w:r w:rsidR="009E4BA4" w:rsidRPr="009E4BA4">
        <w:rPr>
          <w:rFonts w:ascii="Arial" w:hAnsi="Arial" w:cs="Arial"/>
          <w:sz w:val="24"/>
          <w:szCs w:val="24"/>
        </w:rPr>
        <w:br/>
      </w:r>
      <w:hyperlink r:id="rId21" w:anchor="social" w:history="1">
        <w:r w:rsidR="009E4BA4" w:rsidRPr="009E4BA4">
          <w:rPr>
            <w:rStyle w:val="Hyperlink"/>
            <w:rFonts w:ascii="Arial" w:hAnsi="Arial" w:cs="Arial"/>
            <w:color w:val="auto"/>
            <w:sz w:val="24"/>
            <w:szCs w:val="24"/>
            <w:u w:val="none"/>
          </w:rPr>
          <w:t>Social Science (B.A.)</w:t>
        </w:r>
      </w:hyperlink>
      <w:r w:rsidR="009E4BA4" w:rsidRPr="009E4BA4">
        <w:rPr>
          <w:rFonts w:ascii="Arial" w:hAnsi="Arial" w:cs="Arial"/>
          <w:sz w:val="24"/>
          <w:szCs w:val="24"/>
        </w:rPr>
        <w:t xml:space="preserve"> </w:t>
      </w:r>
    </w:p>
    <w:p w:rsidR="009E4BA4" w:rsidRPr="009E4BA4" w:rsidRDefault="009A4BBE" w:rsidP="009E4BA4">
      <w:pPr>
        <w:spacing w:after="0" w:line="240" w:lineRule="auto"/>
        <w:rPr>
          <w:rFonts w:ascii="Arial" w:hAnsi="Arial" w:cs="Arial"/>
          <w:sz w:val="24"/>
          <w:szCs w:val="24"/>
        </w:rPr>
      </w:pPr>
      <w:hyperlink r:id="rId22" w:history="1">
        <w:r w:rsidR="009E4BA4" w:rsidRPr="009E4BA4">
          <w:rPr>
            <w:rStyle w:val="Hyperlink"/>
            <w:rFonts w:ascii="Arial" w:hAnsi="Arial" w:cs="Arial"/>
            <w:color w:val="auto"/>
            <w:sz w:val="24"/>
            <w:szCs w:val="24"/>
            <w:u w:val="none"/>
          </w:rPr>
          <w:t>Sociology (B.A.)</w:t>
        </w:r>
      </w:hyperlink>
      <w:r w:rsidR="009E4BA4" w:rsidRPr="009E4BA4">
        <w:rPr>
          <w:rFonts w:ascii="Arial" w:hAnsi="Arial" w:cs="Arial"/>
          <w:sz w:val="24"/>
          <w:szCs w:val="24"/>
        </w:rPr>
        <w:t xml:space="preserve"> </w:t>
      </w:r>
    </w:p>
    <w:p w:rsidR="009E4BA4" w:rsidRPr="009E4BA4" w:rsidRDefault="009E4BA4" w:rsidP="009E4BA4">
      <w:pPr>
        <w:spacing w:after="0" w:line="240" w:lineRule="auto"/>
        <w:rPr>
          <w:rFonts w:ascii="Arial" w:hAnsi="Arial" w:cs="Arial"/>
          <w:sz w:val="24"/>
          <w:szCs w:val="24"/>
        </w:rPr>
      </w:pPr>
    </w:p>
    <w:p w:rsidR="009E4BA4" w:rsidRPr="009E4BA4" w:rsidRDefault="009E4BA4" w:rsidP="009E4BA4">
      <w:pPr>
        <w:spacing w:after="0" w:line="240" w:lineRule="auto"/>
        <w:rPr>
          <w:rFonts w:ascii="Arial" w:eastAsia="Times New Roman" w:hAnsi="Arial" w:cs="Arial"/>
          <w:i/>
          <w:szCs w:val="20"/>
        </w:rPr>
      </w:pPr>
      <w:r w:rsidRPr="009E4BA4">
        <w:rPr>
          <w:rFonts w:ascii="Arial" w:eastAsia="Times New Roman" w:hAnsi="Arial" w:cs="Arial"/>
          <w:i/>
          <w:szCs w:val="20"/>
        </w:rPr>
        <w:t>Westmont majors that do not require one or more QAR GE courses as part of the major program</w:t>
      </w:r>
    </w:p>
    <w:p w:rsidR="009E4BA4" w:rsidRPr="009E4BA4" w:rsidRDefault="009E4BA4" w:rsidP="009E4BA4">
      <w:pPr>
        <w:spacing w:after="0" w:line="240" w:lineRule="auto"/>
        <w:rPr>
          <w:rFonts w:ascii="Arial" w:hAnsi="Arial" w:cs="Arial"/>
          <w:sz w:val="8"/>
          <w:szCs w:val="16"/>
        </w:rPr>
      </w:pPr>
    </w:p>
    <w:p w:rsidR="009E4BA4" w:rsidRPr="009E4BA4" w:rsidRDefault="009A4BBE" w:rsidP="009E4BA4">
      <w:pPr>
        <w:spacing w:after="0" w:line="240" w:lineRule="auto"/>
        <w:rPr>
          <w:rFonts w:ascii="Arial" w:hAnsi="Arial" w:cs="Arial"/>
          <w:sz w:val="24"/>
          <w:szCs w:val="24"/>
        </w:rPr>
      </w:pPr>
      <w:hyperlink r:id="rId23" w:history="1">
        <w:r w:rsidR="009E4BA4" w:rsidRPr="009E4BA4">
          <w:rPr>
            <w:rStyle w:val="Hyperlink"/>
            <w:rFonts w:ascii="Arial" w:hAnsi="Arial" w:cs="Arial"/>
            <w:color w:val="auto"/>
            <w:sz w:val="24"/>
            <w:szCs w:val="24"/>
            <w:u w:val="none"/>
          </w:rPr>
          <w:t>Art (B.A.)</w:t>
        </w:r>
        <w:r w:rsidR="009E4BA4" w:rsidRPr="009E4BA4">
          <w:rPr>
            <w:rFonts w:ascii="Arial" w:hAnsi="Arial" w:cs="Arial"/>
            <w:sz w:val="24"/>
            <w:szCs w:val="24"/>
          </w:rPr>
          <w:br/>
        </w:r>
      </w:hyperlink>
      <w:hyperlink r:id="rId24" w:history="1">
        <w:r w:rsidR="009E4BA4" w:rsidRPr="009E4BA4">
          <w:rPr>
            <w:rStyle w:val="Hyperlink"/>
            <w:rFonts w:ascii="Arial" w:hAnsi="Arial" w:cs="Arial"/>
            <w:color w:val="auto"/>
            <w:sz w:val="24"/>
            <w:szCs w:val="24"/>
            <w:u w:val="none"/>
          </w:rPr>
          <w:t>Art History (B.A.)</w:t>
        </w:r>
        <w:r w:rsidR="009E4BA4" w:rsidRPr="009E4BA4">
          <w:rPr>
            <w:rFonts w:ascii="Arial" w:hAnsi="Arial" w:cs="Arial"/>
            <w:sz w:val="24"/>
            <w:szCs w:val="24"/>
          </w:rPr>
          <w:br/>
        </w:r>
      </w:hyperlink>
      <w:hyperlink r:id="rId25" w:history="1">
        <w:r w:rsidR="009E4BA4" w:rsidRPr="009E4BA4">
          <w:rPr>
            <w:rStyle w:val="Hyperlink"/>
            <w:rFonts w:ascii="Arial" w:hAnsi="Arial" w:cs="Arial"/>
            <w:color w:val="auto"/>
            <w:sz w:val="24"/>
            <w:szCs w:val="24"/>
            <w:u w:val="none"/>
          </w:rPr>
          <w:t>Communication Studies (B.A.)</w:t>
        </w:r>
      </w:hyperlink>
    </w:p>
    <w:p w:rsidR="009E4BA4" w:rsidRPr="009E4BA4" w:rsidRDefault="009A4BBE" w:rsidP="009E4BA4">
      <w:pPr>
        <w:spacing w:after="0" w:line="240" w:lineRule="auto"/>
        <w:rPr>
          <w:rFonts w:ascii="Arial" w:hAnsi="Arial" w:cs="Arial"/>
          <w:sz w:val="24"/>
          <w:szCs w:val="24"/>
        </w:rPr>
      </w:pPr>
      <w:hyperlink r:id="rId26" w:history="1">
        <w:r w:rsidR="009E4BA4" w:rsidRPr="009E4BA4">
          <w:rPr>
            <w:rStyle w:val="Hyperlink"/>
            <w:rFonts w:ascii="Arial" w:hAnsi="Arial" w:cs="Arial"/>
            <w:color w:val="auto"/>
            <w:sz w:val="24"/>
            <w:szCs w:val="24"/>
            <w:u w:val="none"/>
          </w:rPr>
          <w:t>English (B.A.)</w:t>
        </w:r>
      </w:hyperlink>
      <w:r w:rsidR="009E4BA4" w:rsidRPr="009E4BA4">
        <w:rPr>
          <w:rFonts w:ascii="Arial" w:hAnsi="Arial" w:cs="Arial"/>
          <w:sz w:val="24"/>
          <w:szCs w:val="24"/>
        </w:rPr>
        <w:br/>
      </w:r>
      <w:hyperlink r:id="rId27" w:history="1">
        <w:r w:rsidR="009E4BA4" w:rsidRPr="009E4BA4">
          <w:rPr>
            <w:rStyle w:val="Hyperlink"/>
            <w:rFonts w:ascii="Arial" w:hAnsi="Arial" w:cs="Arial"/>
            <w:color w:val="auto"/>
            <w:sz w:val="24"/>
            <w:szCs w:val="24"/>
            <w:u w:val="none"/>
          </w:rPr>
          <w:t>European Studies (B.A.)</w:t>
        </w:r>
      </w:hyperlink>
      <w:r w:rsidR="009E4BA4" w:rsidRPr="009E4BA4">
        <w:rPr>
          <w:rFonts w:ascii="Arial" w:hAnsi="Arial" w:cs="Arial"/>
          <w:sz w:val="24"/>
          <w:szCs w:val="24"/>
        </w:rPr>
        <w:br/>
      </w:r>
      <w:hyperlink r:id="rId28" w:history="1">
        <w:r w:rsidR="009E4BA4" w:rsidRPr="009E4BA4">
          <w:rPr>
            <w:rStyle w:val="Hyperlink"/>
            <w:rFonts w:ascii="Arial" w:hAnsi="Arial" w:cs="Arial"/>
            <w:color w:val="auto"/>
            <w:sz w:val="24"/>
            <w:szCs w:val="24"/>
            <w:u w:val="none"/>
          </w:rPr>
          <w:t>French (B.A.)</w:t>
        </w:r>
      </w:hyperlink>
      <w:r w:rsidR="009E4BA4" w:rsidRPr="009E4BA4">
        <w:rPr>
          <w:rFonts w:ascii="Arial" w:hAnsi="Arial" w:cs="Arial"/>
          <w:sz w:val="24"/>
          <w:szCs w:val="24"/>
        </w:rPr>
        <w:t xml:space="preserve"> </w:t>
      </w:r>
    </w:p>
    <w:p w:rsidR="009E4BA4" w:rsidRPr="009E4BA4" w:rsidRDefault="009A4BBE" w:rsidP="009E4BA4">
      <w:pPr>
        <w:spacing w:after="0" w:line="240" w:lineRule="auto"/>
        <w:rPr>
          <w:rFonts w:ascii="Arial" w:hAnsi="Arial" w:cs="Arial"/>
          <w:sz w:val="24"/>
          <w:szCs w:val="24"/>
        </w:rPr>
      </w:pPr>
      <w:hyperlink r:id="rId29" w:history="1">
        <w:r w:rsidR="009E4BA4" w:rsidRPr="009E4BA4">
          <w:rPr>
            <w:rStyle w:val="Hyperlink"/>
            <w:rFonts w:ascii="Arial" w:hAnsi="Arial" w:cs="Arial"/>
            <w:color w:val="auto"/>
            <w:sz w:val="24"/>
            <w:szCs w:val="24"/>
            <w:u w:val="none"/>
          </w:rPr>
          <w:t>History (B.A.)</w:t>
        </w:r>
      </w:hyperlink>
    </w:p>
    <w:p w:rsidR="009E4BA4" w:rsidRPr="009E4BA4" w:rsidRDefault="009A4BBE" w:rsidP="009E4BA4">
      <w:pPr>
        <w:spacing w:after="0" w:line="240" w:lineRule="auto"/>
        <w:rPr>
          <w:rFonts w:ascii="Arial" w:hAnsi="Arial" w:cs="Arial"/>
          <w:sz w:val="24"/>
          <w:szCs w:val="24"/>
        </w:rPr>
      </w:pPr>
      <w:hyperlink r:id="rId30" w:history="1">
        <w:r w:rsidR="009E4BA4" w:rsidRPr="009E4BA4">
          <w:rPr>
            <w:rStyle w:val="Hyperlink"/>
            <w:rFonts w:ascii="Arial" w:hAnsi="Arial" w:cs="Arial"/>
            <w:color w:val="auto"/>
            <w:sz w:val="24"/>
            <w:szCs w:val="24"/>
            <w:u w:val="none"/>
          </w:rPr>
          <w:t>Interdisciplinary (B.A., B.S.)</w:t>
        </w:r>
      </w:hyperlink>
      <w:r w:rsidR="009E4BA4" w:rsidRPr="009E4BA4">
        <w:rPr>
          <w:rFonts w:ascii="Arial" w:hAnsi="Arial" w:cs="Arial"/>
          <w:sz w:val="24"/>
          <w:szCs w:val="24"/>
        </w:rPr>
        <w:br/>
      </w:r>
      <w:hyperlink r:id="rId31" w:history="1">
        <w:r w:rsidR="009E4BA4" w:rsidRPr="009E4BA4">
          <w:rPr>
            <w:rStyle w:val="Hyperlink"/>
            <w:rFonts w:ascii="Arial" w:hAnsi="Arial" w:cs="Arial"/>
            <w:color w:val="auto"/>
            <w:sz w:val="24"/>
            <w:szCs w:val="24"/>
            <w:u w:val="none"/>
          </w:rPr>
          <w:t>Music (B.A.)</w:t>
        </w:r>
      </w:hyperlink>
      <w:r w:rsidR="009E4BA4" w:rsidRPr="009E4BA4">
        <w:rPr>
          <w:rFonts w:ascii="Arial" w:hAnsi="Arial" w:cs="Arial"/>
          <w:sz w:val="24"/>
          <w:szCs w:val="24"/>
        </w:rPr>
        <w:t xml:space="preserve"> </w:t>
      </w:r>
      <w:r w:rsidR="009E4BA4" w:rsidRPr="009E4BA4">
        <w:rPr>
          <w:rFonts w:ascii="Arial" w:hAnsi="Arial" w:cs="Arial"/>
          <w:sz w:val="24"/>
          <w:szCs w:val="24"/>
        </w:rPr>
        <w:br/>
      </w:r>
      <w:hyperlink r:id="rId32" w:history="1">
        <w:r w:rsidR="009E4BA4" w:rsidRPr="009E4BA4">
          <w:rPr>
            <w:rStyle w:val="Hyperlink"/>
            <w:rFonts w:ascii="Arial" w:hAnsi="Arial" w:cs="Arial"/>
            <w:color w:val="auto"/>
            <w:sz w:val="24"/>
            <w:szCs w:val="24"/>
            <w:u w:val="none"/>
          </w:rPr>
          <w:t>Philosophy (B.A.)</w:t>
        </w:r>
      </w:hyperlink>
    </w:p>
    <w:p w:rsidR="009E4BA4" w:rsidRPr="009E4BA4" w:rsidRDefault="009A4BBE" w:rsidP="009E4BA4">
      <w:pPr>
        <w:spacing w:after="0" w:line="240" w:lineRule="auto"/>
        <w:rPr>
          <w:rFonts w:ascii="Arial" w:hAnsi="Arial" w:cs="Arial"/>
          <w:sz w:val="24"/>
          <w:szCs w:val="24"/>
        </w:rPr>
      </w:pPr>
      <w:hyperlink r:id="rId33" w:history="1">
        <w:r w:rsidR="009E4BA4" w:rsidRPr="009E4BA4">
          <w:rPr>
            <w:rStyle w:val="Hyperlink"/>
            <w:rFonts w:ascii="Arial" w:hAnsi="Arial" w:cs="Arial"/>
            <w:color w:val="auto"/>
            <w:sz w:val="24"/>
            <w:szCs w:val="24"/>
            <w:u w:val="none"/>
          </w:rPr>
          <w:t>Religious Studies (B.A.)</w:t>
        </w:r>
      </w:hyperlink>
    </w:p>
    <w:p w:rsidR="009E4BA4" w:rsidRPr="009E4BA4" w:rsidRDefault="009A4BBE" w:rsidP="009E4BA4">
      <w:pPr>
        <w:spacing w:after="0" w:line="240" w:lineRule="auto"/>
        <w:rPr>
          <w:rFonts w:ascii="Arial" w:hAnsi="Arial" w:cs="Arial"/>
          <w:sz w:val="24"/>
          <w:szCs w:val="24"/>
        </w:rPr>
      </w:pPr>
      <w:hyperlink r:id="rId34" w:history="1">
        <w:r w:rsidR="009E4BA4" w:rsidRPr="009E4BA4">
          <w:rPr>
            <w:rStyle w:val="Hyperlink"/>
            <w:rFonts w:ascii="Arial" w:hAnsi="Arial" w:cs="Arial"/>
            <w:color w:val="auto"/>
            <w:sz w:val="24"/>
            <w:szCs w:val="24"/>
            <w:u w:val="none"/>
          </w:rPr>
          <w:t>Spanish (B.A.)</w:t>
        </w:r>
      </w:hyperlink>
      <w:r w:rsidR="009E4BA4" w:rsidRPr="009E4BA4">
        <w:rPr>
          <w:rFonts w:ascii="Arial" w:hAnsi="Arial" w:cs="Arial"/>
          <w:sz w:val="24"/>
          <w:szCs w:val="24"/>
        </w:rPr>
        <w:t xml:space="preserve"> </w:t>
      </w:r>
    </w:p>
    <w:p w:rsidR="009E4BA4" w:rsidRPr="009E4BA4" w:rsidRDefault="009A4BBE" w:rsidP="009E4BA4">
      <w:pPr>
        <w:spacing w:after="0" w:line="240" w:lineRule="auto"/>
        <w:rPr>
          <w:rFonts w:ascii="Arial" w:hAnsi="Arial" w:cs="Arial"/>
          <w:sz w:val="24"/>
          <w:szCs w:val="24"/>
        </w:rPr>
      </w:pPr>
      <w:hyperlink r:id="rId35" w:history="1">
        <w:r w:rsidR="009E4BA4" w:rsidRPr="009E4BA4">
          <w:rPr>
            <w:rStyle w:val="Hyperlink"/>
            <w:rFonts w:ascii="Arial" w:hAnsi="Arial" w:cs="Arial"/>
            <w:color w:val="auto"/>
            <w:sz w:val="24"/>
            <w:szCs w:val="24"/>
            <w:u w:val="none"/>
          </w:rPr>
          <w:t>Theatre Arts (B.A.)</w:t>
        </w:r>
      </w:hyperlink>
      <w:r w:rsidR="009E4BA4" w:rsidRPr="009E4BA4">
        <w:rPr>
          <w:rFonts w:ascii="Arial" w:hAnsi="Arial" w:cs="Arial"/>
          <w:sz w:val="24"/>
          <w:szCs w:val="24"/>
        </w:rPr>
        <w:t xml:space="preserve"> </w:t>
      </w:r>
    </w:p>
    <w:p w:rsidR="009E4BA4" w:rsidRDefault="009E4BA4" w:rsidP="009E4BA4">
      <w:pPr>
        <w:spacing w:after="0" w:line="240" w:lineRule="auto"/>
        <w:rPr>
          <w:rFonts w:ascii="Arial" w:hAnsi="Arial" w:cs="Arial"/>
          <w:sz w:val="24"/>
          <w:szCs w:val="24"/>
        </w:rPr>
      </w:pPr>
    </w:p>
    <w:p w:rsidR="009E4BA4" w:rsidRDefault="009E4BA4" w:rsidP="009E4BA4">
      <w:pPr>
        <w:rPr>
          <w:rFonts w:ascii="Arial" w:hAnsi="Arial" w:cs="Arial"/>
          <w:sz w:val="24"/>
          <w:szCs w:val="24"/>
        </w:rPr>
      </w:pPr>
      <w:r>
        <w:rPr>
          <w:rFonts w:ascii="Arial" w:hAnsi="Arial" w:cs="Arial"/>
          <w:sz w:val="24"/>
          <w:szCs w:val="24"/>
        </w:rPr>
        <w:br w:type="page"/>
      </w:r>
    </w:p>
    <w:p w:rsidR="009E4BA4" w:rsidRPr="009E4BA4" w:rsidRDefault="009E4BA4" w:rsidP="009E4BA4">
      <w:pPr>
        <w:spacing w:after="0" w:line="240" w:lineRule="auto"/>
        <w:rPr>
          <w:rFonts w:ascii="Arial" w:hAnsi="Arial" w:cs="Arial"/>
          <w:b/>
          <w:sz w:val="28"/>
          <w:szCs w:val="28"/>
        </w:rPr>
      </w:pPr>
      <w:r w:rsidRPr="009E4BA4">
        <w:rPr>
          <w:rFonts w:ascii="Arial" w:hAnsi="Arial" w:cs="Arial"/>
          <w:b/>
          <w:sz w:val="28"/>
          <w:szCs w:val="28"/>
        </w:rPr>
        <w:lastRenderedPageBreak/>
        <w:t xml:space="preserve">Appendix 4:  How </w:t>
      </w:r>
      <w:r w:rsidR="00E26963">
        <w:rPr>
          <w:rFonts w:ascii="Arial" w:hAnsi="Arial" w:cs="Arial"/>
          <w:b/>
          <w:sz w:val="28"/>
          <w:szCs w:val="28"/>
        </w:rPr>
        <w:t xml:space="preserve">the 62% of </w:t>
      </w:r>
      <w:r w:rsidRPr="009E4BA4">
        <w:rPr>
          <w:rFonts w:ascii="Arial" w:hAnsi="Arial" w:cs="Arial"/>
          <w:b/>
          <w:sz w:val="28"/>
          <w:szCs w:val="28"/>
        </w:rPr>
        <w:t>2015 Westmont graduates without a major-required QAR course attained the QAR requirement</w:t>
      </w:r>
    </w:p>
    <w:p w:rsidR="009E4BA4" w:rsidRDefault="009E4BA4" w:rsidP="009E4BA4">
      <w:pPr>
        <w:spacing w:after="0" w:line="240" w:lineRule="auto"/>
        <w:rPr>
          <w:rFonts w:ascii="Arial" w:hAnsi="Arial" w:cs="Arial"/>
          <w:sz w:val="24"/>
          <w:szCs w:val="24"/>
        </w:rPr>
      </w:pPr>
    </w:p>
    <w:p w:rsidR="009E4BA4" w:rsidRDefault="009E4BA4" w:rsidP="009E4BA4">
      <w:pPr>
        <w:spacing w:after="0" w:line="240" w:lineRule="auto"/>
        <w:rPr>
          <w:rFonts w:ascii="Arial" w:hAnsi="Arial" w:cs="Arial"/>
          <w:sz w:val="24"/>
          <w:szCs w:val="24"/>
        </w:rPr>
      </w:pPr>
      <w:r w:rsidRPr="00310798">
        <w:rPr>
          <w:rFonts w:ascii="Arial" w:hAnsi="Arial" w:cs="Arial"/>
          <w:b/>
          <w:sz w:val="24"/>
          <w:szCs w:val="24"/>
        </w:rPr>
        <w:t xml:space="preserve">Table </w:t>
      </w:r>
      <w:r>
        <w:rPr>
          <w:rFonts w:ascii="Arial" w:hAnsi="Arial" w:cs="Arial"/>
          <w:b/>
          <w:sz w:val="24"/>
          <w:szCs w:val="24"/>
        </w:rPr>
        <w:t>A4-</w:t>
      </w:r>
      <w:r w:rsidRPr="00310798">
        <w:rPr>
          <w:rFonts w:ascii="Arial" w:hAnsi="Arial" w:cs="Arial"/>
          <w:b/>
          <w:sz w:val="24"/>
          <w:szCs w:val="24"/>
        </w:rPr>
        <w:t>1.</w:t>
      </w:r>
      <w:r>
        <w:rPr>
          <w:rFonts w:ascii="Arial" w:hAnsi="Arial" w:cs="Arial"/>
          <w:sz w:val="24"/>
          <w:szCs w:val="24"/>
        </w:rPr>
        <w:t xml:space="preserve">  Overall breakdown</w:t>
      </w:r>
    </w:p>
    <w:tbl>
      <w:tblPr>
        <w:tblStyle w:val="TableGrid"/>
        <w:tblW w:w="0" w:type="auto"/>
        <w:tblLook w:val="04A0" w:firstRow="1" w:lastRow="0" w:firstColumn="1" w:lastColumn="0" w:noHBand="0" w:noVBand="1"/>
      </w:tblPr>
      <w:tblGrid>
        <w:gridCol w:w="5508"/>
        <w:gridCol w:w="5508"/>
      </w:tblGrid>
      <w:tr w:rsidR="009E4BA4" w:rsidTr="00BA5589">
        <w:tc>
          <w:tcPr>
            <w:tcW w:w="5508" w:type="dxa"/>
          </w:tcPr>
          <w:p w:rsidR="009E4BA4" w:rsidRPr="00310798" w:rsidRDefault="009E4BA4" w:rsidP="00BA5589">
            <w:pPr>
              <w:tabs>
                <w:tab w:val="left" w:pos="180"/>
                <w:tab w:val="left" w:pos="900"/>
              </w:tabs>
              <w:rPr>
                <w:b/>
                <w:sz w:val="24"/>
              </w:rPr>
            </w:pPr>
            <w:r w:rsidRPr="00310798">
              <w:rPr>
                <w:b/>
                <w:sz w:val="24"/>
              </w:rPr>
              <w:t>Method</w:t>
            </w:r>
          </w:p>
        </w:tc>
        <w:tc>
          <w:tcPr>
            <w:tcW w:w="5508" w:type="dxa"/>
          </w:tcPr>
          <w:p w:rsidR="009E4BA4" w:rsidRPr="00310798" w:rsidRDefault="009E4BA4" w:rsidP="00BA5589">
            <w:pPr>
              <w:tabs>
                <w:tab w:val="left" w:pos="180"/>
                <w:tab w:val="left" w:pos="900"/>
              </w:tabs>
              <w:rPr>
                <w:b/>
                <w:sz w:val="24"/>
              </w:rPr>
            </w:pPr>
            <w:r w:rsidRPr="00310798">
              <w:rPr>
                <w:b/>
                <w:sz w:val="24"/>
              </w:rPr>
              <w:t>%</w:t>
            </w:r>
          </w:p>
        </w:tc>
      </w:tr>
      <w:tr w:rsidR="009E4BA4" w:rsidTr="00BA5589">
        <w:tc>
          <w:tcPr>
            <w:tcW w:w="5508" w:type="dxa"/>
          </w:tcPr>
          <w:p w:rsidR="009E4BA4" w:rsidRDefault="009E4BA4" w:rsidP="00BA5589">
            <w:pPr>
              <w:tabs>
                <w:tab w:val="left" w:pos="180"/>
                <w:tab w:val="left" w:pos="900"/>
              </w:tabs>
              <w:rPr>
                <w:sz w:val="24"/>
              </w:rPr>
            </w:pPr>
            <w:r>
              <w:rPr>
                <w:sz w:val="24"/>
              </w:rPr>
              <w:t>Westmont Coursework</w:t>
            </w:r>
          </w:p>
        </w:tc>
        <w:tc>
          <w:tcPr>
            <w:tcW w:w="5508" w:type="dxa"/>
          </w:tcPr>
          <w:p w:rsidR="009E4BA4" w:rsidRDefault="009E4BA4" w:rsidP="00BA5589">
            <w:pPr>
              <w:tabs>
                <w:tab w:val="left" w:pos="180"/>
                <w:tab w:val="left" w:pos="900"/>
              </w:tabs>
              <w:rPr>
                <w:sz w:val="24"/>
              </w:rPr>
            </w:pPr>
            <w:r>
              <w:rPr>
                <w:sz w:val="24"/>
              </w:rPr>
              <w:t>85.5</w:t>
            </w:r>
          </w:p>
        </w:tc>
      </w:tr>
      <w:tr w:rsidR="009E4BA4" w:rsidTr="00BA5589">
        <w:tc>
          <w:tcPr>
            <w:tcW w:w="5508" w:type="dxa"/>
          </w:tcPr>
          <w:p w:rsidR="009E4BA4" w:rsidRDefault="009E4BA4" w:rsidP="00BA5589">
            <w:pPr>
              <w:tabs>
                <w:tab w:val="left" w:pos="180"/>
                <w:tab w:val="left" w:pos="900"/>
              </w:tabs>
              <w:rPr>
                <w:sz w:val="24"/>
              </w:rPr>
            </w:pPr>
            <w:r>
              <w:rPr>
                <w:sz w:val="24"/>
              </w:rPr>
              <w:t>Transfer Credit</w:t>
            </w:r>
          </w:p>
        </w:tc>
        <w:tc>
          <w:tcPr>
            <w:tcW w:w="5508" w:type="dxa"/>
          </w:tcPr>
          <w:p w:rsidR="009E4BA4" w:rsidRDefault="009E4BA4" w:rsidP="00BA5589">
            <w:pPr>
              <w:tabs>
                <w:tab w:val="left" w:pos="180"/>
                <w:tab w:val="left" w:pos="900"/>
              </w:tabs>
              <w:rPr>
                <w:sz w:val="24"/>
              </w:rPr>
            </w:pPr>
            <w:r>
              <w:rPr>
                <w:sz w:val="24"/>
              </w:rPr>
              <w:t>10.0</w:t>
            </w:r>
          </w:p>
        </w:tc>
      </w:tr>
      <w:tr w:rsidR="009E4BA4" w:rsidTr="00BA5589">
        <w:tc>
          <w:tcPr>
            <w:tcW w:w="5508" w:type="dxa"/>
          </w:tcPr>
          <w:p w:rsidR="009E4BA4" w:rsidRDefault="009E4BA4" w:rsidP="00BA5589">
            <w:pPr>
              <w:tabs>
                <w:tab w:val="left" w:pos="180"/>
                <w:tab w:val="left" w:pos="900"/>
              </w:tabs>
              <w:rPr>
                <w:sz w:val="24"/>
              </w:rPr>
            </w:pPr>
            <w:r>
              <w:rPr>
                <w:sz w:val="24"/>
              </w:rPr>
              <w:t>AP Credit</w:t>
            </w:r>
          </w:p>
        </w:tc>
        <w:tc>
          <w:tcPr>
            <w:tcW w:w="5508" w:type="dxa"/>
          </w:tcPr>
          <w:p w:rsidR="009E4BA4" w:rsidRDefault="009E4BA4" w:rsidP="00BA5589">
            <w:pPr>
              <w:tabs>
                <w:tab w:val="left" w:pos="180"/>
                <w:tab w:val="left" w:pos="900"/>
              </w:tabs>
              <w:rPr>
                <w:sz w:val="24"/>
              </w:rPr>
            </w:pPr>
            <w:r>
              <w:rPr>
                <w:sz w:val="24"/>
              </w:rPr>
              <w:t>4.5</w:t>
            </w:r>
          </w:p>
        </w:tc>
      </w:tr>
    </w:tbl>
    <w:p w:rsidR="009E4BA4" w:rsidRDefault="009E4BA4" w:rsidP="009E4BA4">
      <w:pPr>
        <w:spacing w:after="0" w:line="240" w:lineRule="auto"/>
        <w:rPr>
          <w:rFonts w:ascii="Arial" w:hAnsi="Arial" w:cs="Arial"/>
          <w:sz w:val="24"/>
          <w:szCs w:val="24"/>
        </w:rPr>
      </w:pPr>
    </w:p>
    <w:p w:rsidR="009E4BA4" w:rsidRDefault="009E4BA4" w:rsidP="009E4BA4">
      <w:pPr>
        <w:spacing w:after="0" w:line="240" w:lineRule="auto"/>
        <w:rPr>
          <w:rFonts w:ascii="Arial" w:hAnsi="Arial" w:cs="Arial"/>
          <w:sz w:val="24"/>
          <w:szCs w:val="24"/>
        </w:rPr>
      </w:pPr>
      <w:r w:rsidRPr="00310798">
        <w:rPr>
          <w:rFonts w:ascii="Arial" w:hAnsi="Arial" w:cs="Arial"/>
          <w:b/>
          <w:sz w:val="24"/>
          <w:szCs w:val="24"/>
        </w:rPr>
        <w:t xml:space="preserve">Table </w:t>
      </w:r>
      <w:r>
        <w:rPr>
          <w:rFonts w:ascii="Arial" w:hAnsi="Arial" w:cs="Arial"/>
          <w:b/>
          <w:sz w:val="24"/>
          <w:szCs w:val="24"/>
        </w:rPr>
        <w:t>A4-</w:t>
      </w:r>
      <w:r w:rsidRPr="00310798">
        <w:rPr>
          <w:rFonts w:ascii="Arial" w:hAnsi="Arial" w:cs="Arial"/>
          <w:b/>
          <w:sz w:val="24"/>
          <w:szCs w:val="24"/>
        </w:rPr>
        <w:t>2.</w:t>
      </w:r>
      <w:r>
        <w:rPr>
          <w:rFonts w:ascii="Arial" w:hAnsi="Arial" w:cs="Arial"/>
          <w:sz w:val="24"/>
          <w:szCs w:val="24"/>
        </w:rPr>
        <w:t xml:space="preserve">  Westmont courses used to complete the QAR GE.</w:t>
      </w:r>
    </w:p>
    <w:tbl>
      <w:tblPr>
        <w:tblW w:w="1027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5"/>
        <w:gridCol w:w="268"/>
        <w:gridCol w:w="5762"/>
        <w:gridCol w:w="1260"/>
        <w:gridCol w:w="1530"/>
      </w:tblGrid>
      <w:tr w:rsidR="009E4BA4" w:rsidRPr="00B10B36" w:rsidTr="009E4BA4">
        <w:trPr>
          <w:trHeight w:val="300"/>
        </w:trPr>
        <w:tc>
          <w:tcPr>
            <w:tcW w:w="1455" w:type="dxa"/>
            <w:tcBorders>
              <w:top w:val="single" w:sz="4" w:space="0" w:color="auto"/>
              <w:bottom w:val="single" w:sz="4" w:space="0" w:color="auto"/>
            </w:tcBorders>
            <w:shd w:val="clear" w:color="auto" w:fill="auto"/>
            <w:vAlign w:val="center"/>
          </w:tcPr>
          <w:p w:rsidR="009E4BA4" w:rsidRPr="006E20C2" w:rsidRDefault="009E4BA4" w:rsidP="009E4BA4">
            <w:pPr>
              <w:spacing w:after="0" w:line="240" w:lineRule="auto"/>
              <w:rPr>
                <w:rFonts w:ascii="Arial" w:eastAsia="Times New Roman" w:hAnsi="Arial" w:cs="Arial"/>
                <w:color w:val="000000"/>
                <w:sz w:val="24"/>
                <w:szCs w:val="24"/>
              </w:rPr>
            </w:pPr>
            <w:r w:rsidRPr="006E20C2">
              <w:rPr>
                <w:rFonts w:ascii="Arial" w:eastAsia="Times New Roman" w:hAnsi="Arial" w:cs="Arial"/>
                <w:color w:val="000000"/>
                <w:sz w:val="24"/>
                <w:szCs w:val="24"/>
              </w:rPr>
              <w:t>Course</w:t>
            </w:r>
          </w:p>
        </w:tc>
        <w:tc>
          <w:tcPr>
            <w:tcW w:w="268" w:type="dxa"/>
            <w:tcBorders>
              <w:top w:val="single" w:sz="4" w:space="0" w:color="auto"/>
              <w:bottom w:val="single" w:sz="4" w:space="0" w:color="auto"/>
            </w:tcBorders>
            <w:vAlign w:val="center"/>
          </w:tcPr>
          <w:p w:rsidR="009E4BA4" w:rsidRPr="006E20C2" w:rsidRDefault="009E4BA4" w:rsidP="009E4BA4">
            <w:pPr>
              <w:spacing w:after="0" w:line="240" w:lineRule="auto"/>
              <w:jc w:val="center"/>
              <w:rPr>
                <w:rFonts w:ascii="Arial" w:eastAsia="Times New Roman" w:hAnsi="Arial" w:cs="Arial"/>
                <w:color w:val="000000"/>
                <w:sz w:val="24"/>
                <w:szCs w:val="24"/>
              </w:rPr>
            </w:pPr>
          </w:p>
        </w:tc>
        <w:tc>
          <w:tcPr>
            <w:tcW w:w="5762" w:type="dxa"/>
            <w:tcBorders>
              <w:top w:val="single" w:sz="4" w:space="0" w:color="auto"/>
              <w:bottom w:val="single" w:sz="4" w:space="0" w:color="auto"/>
            </w:tcBorders>
            <w:vAlign w:val="center"/>
          </w:tcPr>
          <w:p w:rsidR="009E4BA4" w:rsidRPr="006E20C2" w:rsidRDefault="009E4BA4" w:rsidP="009E4BA4">
            <w:pPr>
              <w:spacing w:after="0" w:line="240" w:lineRule="auto"/>
              <w:rPr>
                <w:rFonts w:ascii="Arial" w:eastAsia="Times New Roman" w:hAnsi="Arial" w:cs="Arial"/>
                <w:color w:val="000000"/>
                <w:sz w:val="24"/>
                <w:szCs w:val="24"/>
              </w:rPr>
            </w:pPr>
            <w:r w:rsidRPr="006E20C2">
              <w:rPr>
                <w:rFonts w:ascii="Arial" w:eastAsia="Times New Roman" w:hAnsi="Arial" w:cs="Arial"/>
                <w:color w:val="000000"/>
                <w:sz w:val="24"/>
                <w:szCs w:val="24"/>
              </w:rPr>
              <w:t>Title</w:t>
            </w:r>
          </w:p>
        </w:tc>
        <w:tc>
          <w:tcPr>
            <w:tcW w:w="1260" w:type="dxa"/>
            <w:tcBorders>
              <w:top w:val="single" w:sz="4" w:space="0" w:color="auto"/>
              <w:bottom w:val="single" w:sz="4" w:space="0" w:color="auto"/>
            </w:tcBorders>
            <w:shd w:val="clear" w:color="auto" w:fill="auto"/>
            <w:noWrap/>
            <w:vAlign w:val="center"/>
          </w:tcPr>
          <w:p w:rsidR="009E4BA4" w:rsidRPr="006E20C2" w:rsidRDefault="009E4BA4" w:rsidP="009E4BA4">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 Students</w:t>
            </w:r>
          </w:p>
        </w:tc>
        <w:tc>
          <w:tcPr>
            <w:tcW w:w="1530" w:type="dxa"/>
            <w:tcBorders>
              <w:top w:val="single" w:sz="4" w:space="0" w:color="auto"/>
              <w:bottom w:val="single" w:sz="4" w:space="0" w:color="auto"/>
            </w:tcBorders>
            <w:shd w:val="clear" w:color="auto" w:fill="auto"/>
            <w:noWrap/>
            <w:vAlign w:val="center"/>
          </w:tcPr>
          <w:p w:rsidR="009E4BA4" w:rsidRPr="006E20C2" w:rsidRDefault="009E4BA4" w:rsidP="009E4BA4">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 students</w:t>
            </w:r>
          </w:p>
        </w:tc>
      </w:tr>
      <w:tr w:rsidR="009E4BA4" w:rsidRPr="00B10B36" w:rsidTr="009E4BA4">
        <w:trPr>
          <w:trHeight w:val="300"/>
        </w:trPr>
        <w:tc>
          <w:tcPr>
            <w:tcW w:w="1455" w:type="dxa"/>
            <w:tcBorders>
              <w:top w:val="single" w:sz="4" w:space="0" w:color="auto"/>
            </w:tcBorders>
            <w:shd w:val="clear" w:color="auto" w:fill="auto"/>
            <w:vAlign w:val="center"/>
            <w:hideMark/>
          </w:tcPr>
          <w:p w:rsidR="009E4BA4" w:rsidRPr="006E20C2" w:rsidRDefault="009E4BA4" w:rsidP="00BA5589">
            <w:pPr>
              <w:spacing w:after="0" w:line="240" w:lineRule="auto"/>
              <w:rPr>
                <w:rFonts w:ascii="Arial" w:eastAsia="Times New Roman" w:hAnsi="Arial" w:cs="Arial"/>
                <w:color w:val="000000"/>
                <w:sz w:val="24"/>
                <w:szCs w:val="24"/>
              </w:rPr>
            </w:pPr>
            <w:r w:rsidRPr="006E20C2">
              <w:rPr>
                <w:rFonts w:ascii="Arial" w:eastAsia="Times New Roman" w:hAnsi="Arial" w:cs="Arial"/>
                <w:color w:val="000000"/>
                <w:sz w:val="24"/>
                <w:szCs w:val="24"/>
              </w:rPr>
              <w:t xml:space="preserve">CHM 5/5H </w:t>
            </w:r>
          </w:p>
        </w:tc>
        <w:tc>
          <w:tcPr>
            <w:tcW w:w="268" w:type="dxa"/>
            <w:tcBorders>
              <w:top w:val="single" w:sz="4" w:space="0" w:color="auto"/>
            </w:tcBorders>
          </w:tcPr>
          <w:p w:rsidR="009E4BA4" w:rsidRPr="006E20C2" w:rsidRDefault="009E4BA4" w:rsidP="00BA5589">
            <w:pPr>
              <w:spacing w:after="0" w:line="240" w:lineRule="auto"/>
              <w:jc w:val="right"/>
              <w:rPr>
                <w:rFonts w:ascii="Arial" w:eastAsia="Times New Roman" w:hAnsi="Arial" w:cs="Arial"/>
                <w:sz w:val="24"/>
                <w:szCs w:val="24"/>
              </w:rPr>
            </w:pPr>
          </w:p>
        </w:tc>
        <w:tc>
          <w:tcPr>
            <w:tcW w:w="5762" w:type="dxa"/>
            <w:tcBorders>
              <w:top w:val="single" w:sz="4" w:space="0" w:color="auto"/>
            </w:tcBorders>
          </w:tcPr>
          <w:p w:rsidR="009E4BA4" w:rsidRPr="006E20C2" w:rsidRDefault="009E4BA4" w:rsidP="00BA5589">
            <w:pPr>
              <w:spacing w:after="0" w:line="240" w:lineRule="auto"/>
              <w:rPr>
                <w:rFonts w:ascii="Arial" w:eastAsia="Times New Roman" w:hAnsi="Arial" w:cs="Arial"/>
                <w:sz w:val="24"/>
                <w:szCs w:val="24"/>
              </w:rPr>
            </w:pPr>
            <w:r w:rsidRPr="006E20C2">
              <w:rPr>
                <w:rFonts w:ascii="Arial" w:eastAsia="Times New Roman" w:hAnsi="Arial" w:cs="Arial"/>
                <w:sz w:val="24"/>
                <w:szCs w:val="24"/>
              </w:rPr>
              <w:t>General Chemistry I w/ Lab</w:t>
            </w:r>
          </w:p>
        </w:tc>
        <w:tc>
          <w:tcPr>
            <w:tcW w:w="1260" w:type="dxa"/>
            <w:tcBorders>
              <w:top w:val="single" w:sz="4" w:space="0" w:color="auto"/>
            </w:tcBorders>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10</w:t>
            </w:r>
          </w:p>
        </w:tc>
        <w:tc>
          <w:tcPr>
            <w:tcW w:w="1530" w:type="dxa"/>
            <w:tcBorders>
              <w:top w:val="single" w:sz="4" w:space="0" w:color="auto"/>
            </w:tcBorders>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5.29%</w:t>
            </w:r>
          </w:p>
        </w:tc>
      </w:tr>
      <w:tr w:rsidR="009E4BA4" w:rsidRPr="00B10B36" w:rsidTr="00BA5589">
        <w:trPr>
          <w:trHeight w:val="300"/>
        </w:trPr>
        <w:tc>
          <w:tcPr>
            <w:tcW w:w="1455" w:type="dxa"/>
            <w:shd w:val="clear" w:color="auto" w:fill="auto"/>
            <w:vAlign w:val="center"/>
            <w:hideMark/>
          </w:tcPr>
          <w:p w:rsidR="009E4BA4" w:rsidRPr="006E20C2" w:rsidRDefault="009E4BA4" w:rsidP="00BA5589">
            <w:pPr>
              <w:spacing w:after="0" w:line="240" w:lineRule="auto"/>
              <w:rPr>
                <w:rFonts w:ascii="Arial" w:eastAsia="Times New Roman" w:hAnsi="Arial" w:cs="Arial"/>
                <w:color w:val="000000"/>
                <w:sz w:val="24"/>
                <w:szCs w:val="24"/>
              </w:rPr>
            </w:pPr>
            <w:r w:rsidRPr="006E20C2">
              <w:rPr>
                <w:rFonts w:ascii="Arial" w:eastAsia="Times New Roman" w:hAnsi="Arial" w:cs="Arial"/>
                <w:color w:val="000000"/>
                <w:sz w:val="24"/>
                <w:szCs w:val="24"/>
              </w:rPr>
              <w:t>CS-005</w:t>
            </w:r>
          </w:p>
        </w:tc>
        <w:tc>
          <w:tcPr>
            <w:tcW w:w="268" w:type="dxa"/>
          </w:tcPr>
          <w:p w:rsidR="009E4BA4" w:rsidRPr="006E20C2" w:rsidRDefault="009E4BA4" w:rsidP="00BA5589">
            <w:pPr>
              <w:spacing w:after="0" w:line="240" w:lineRule="auto"/>
              <w:jc w:val="right"/>
              <w:rPr>
                <w:rFonts w:ascii="Arial" w:eastAsia="Times New Roman" w:hAnsi="Arial" w:cs="Arial"/>
                <w:sz w:val="24"/>
                <w:szCs w:val="24"/>
              </w:rPr>
            </w:pPr>
          </w:p>
        </w:tc>
        <w:tc>
          <w:tcPr>
            <w:tcW w:w="5762" w:type="dxa"/>
          </w:tcPr>
          <w:p w:rsidR="009E4BA4" w:rsidRPr="006E20C2" w:rsidRDefault="009E4BA4" w:rsidP="00BA5589">
            <w:pPr>
              <w:spacing w:after="0" w:line="240" w:lineRule="auto"/>
              <w:rPr>
                <w:rFonts w:ascii="Arial" w:eastAsia="Times New Roman" w:hAnsi="Arial" w:cs="Arial"/>
                <w:sz w:val="24"/>
                <w:szCs w:val="24"/>
              </w:rPr>
            </w:pPr>
            <w:r w:rsidRPr="006E20C2">
              <w:rPr>
                <w:rFonts w:ascii="Arial" w:eastAsia="Times New Roman" w:hAnsi="Arial" w:cs="Arial"/>
                <w:sz w:val="24"/>
                <w:szCs w:val="24"/>
              </w:rPr>
              <w:t>Fundamentals of Computing</w:t>
            </w:r>
          </w:p>
        </w:tc>
        <w:tc>
          <w:tcPr>
            <w:tcW w:w="126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30</w:t>
            </w:r>
          </w:p>
        </w:tc>
        <w:tc>
          <w:tcPr>
            <w:tcW w:w="153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15.87%</w:t>
            </w:r>
          </w:p>
        </w:tc>
      </w:tr>
      <w:tr w:rsidR="009E4BA4" w:rsidRPr="00B10B36" w:rsidTr="00BA5589">
        <w:trPr>
          <w:trHeight w:val="300"/>
        </w:trPr>
        <w:tc>
          <w:tcPr>
            <w:tcW w:w="1455" w:type="dxa"/>
            <w:shd w:val="clear" w:color="auto" w:fill="auto"/>
            <w:vAlign w:val="center"/>
            <w:hideMark/>
          </w:tcPr>
          <w:p w:rsidR="009E4BA4" w:rsidRPr="006E20C2" w:rsidRDefault="009E4BA4" w:rsidP="00BA5589">
            <w:pPr>
              <w:spacing w:after="0" w:line="240" w:lineRule="auto"/>
              <w:rPr>
                <w:rFonts w:ascii="Arial" w:eastAsia="Times New Roman" w:hAnsi="Arial" w:cs="Arial"/>
                <w:color w:val="000000"/>
                <w:sz w:val="24"/>
                <w:szCs w:val="24"/>
              </w:rPr>
            </w:pPr>
            <w:r w:rsidRPr="006E20C2">
              <w:rPr>
                <w:rFonts w:ascii="Arial" w:eastAsia="Times New Roman" w:hAnsi="Arial" w:cs="Arial"/>
                <w:color w:val="000000"/>
                <w:sz w:val="24"/>
                <w:szCs w:val="24"/>
              </w:rPr>
              <w:t>CS-015</w:t>
            </w:r>
          </w:p>
        </w:tc>
        <w:tc>
          <w:tcPr>
            <w:tcW w:w="268" w:type="dxa"/>
          </w:tcPr>
          <w:p w:rsidR="009E4BA4" w:rsidRPr="006E20C2" w:rsidRDefault="009E4BA4" w:rsidP="00BA5589">
            <w:pPr>
              <w:spacing w:after="0" w:line="240" w:lineRule="auto"/>
              <w:jc w:val="right"/>
              <w:rPr>
                <w:rFonts w:ascii="Arial" w:eastAsia="Times New Roman" w:hAnsi="Arial" w:cs="Arial"/>
                <w:sz w:val="24"/>
                <w:szCs w:val="24"/>
              </w:rPr>
            </w:pPr>
          </w:p>
        </w:tc>
        <w:tc>
          <w:tcPr>
            <w:tcW w:w="5762" w:type="dxa"/>
          </w:tcPr>
          <w:p w:rsidR="009E4BA4" w:rsidRPr="006E20C2" w:rsidRDefault="009E4BA4" w:rsidP="00BA5589">
            <w:pPr>
              <w:spacing w:after="0" w:line="240" w:lineRule="auto"/>
              <w:rPr>
                <w:rFonts w:ascii="Arial" w:eastAsia="Times New Roman" w:hAnsi="Arial" w:cs="Arial"/>
                <w:sz w:val="24"/>
                <w:szCs w:val="24"/>
              </w:rPr>
            </w:pPr>
            <w:r w:rsidRPr="006E20C2">
              <w:rPr>
                <w:rFonts w:ascii="Arial" w:eastAsia="Times New Roman" w:hAnsi="Arial" w:cs="Arial"/>
                <w:sz w:val="24"/>
                <w:szCs w:val="24"/>
              </w:rPr>
              <w:t>Discrete Mathematics</w:t>
            </w:r>
          </w:p>
        </w:tc>
        <w:tc>
          <w:tcPr>
            <w:tcW w:w="126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1</w:t>
            </w:r>
          </w:p>
        </w:tc>
        <w:tc>
          <w:tcPr>
            <w:tcW w:w="153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0.53%</w:t>
            </w:r>
          </w:p>
        </w:tc>
      </w:tr>
      <w:tr w:rsidR="009E4BA4" w:rsidRPr="00B10B36" w:rsidTr="00BA5589">
        <w:trPr>
          <w:trHeight w:val="300"/>
        </w:trPr>
        <w:tc>
          <w:tcPr>
            <w:tcW w:w="1455" w:type="dxa"/>
            <w:shd w:val="clear" w:color="auto" w:fill="auto"/>
            <w:vAlign w:val="center"/>
            <w:hideMark/>
          </w:tcPr>
          <w:p w:rsidR="009E4BA4" w:rsidRPr="006E20C2" w:rsidRDefault="009E4BA4" w:rsidP="00BA5589">
            <w:pPr>
              <w:spacing w:after="0" w:line="240" w:lineRule="auto"/>
              <w:rPr>
                <w:rFonts w:ascii="Arial" w:eastAsia="Times New Roman" w:hAnsi="Arial" w:cs="Arial"/>
                <w:color w:val="000000"/>
                <w:sz w:val="24"/>
                <w:szCs w:val="24"/>
              </w:rPr>
            </w:pPr>
            <w:r w:rsidRPr="006E20C2">
              <w:rPr>
                <w:rFonts w:ascii="Arial" w:eastAsia="Times New Roman" w:hAnsi="Arial" w:cs="Arial"/>
                <w:color w:val="000000"/>
                <w:sz w:val="24"/>
                <w:szCs w:val="24"/>
              </w:rPr>
              <w:t>MA-004</w:t>
            </w:r>
          </w:p>
        </w:tc>
        <w:tc>
          <w:tcPr>
            <w:tcW w:w="268" w:type="dxa"/>
          </w:tcPr>
          <w:p w:rsidR="009E4BA4" w:rsidRPr="006E20C2" w:rsidRDefault="009E4BA4" w:rsidP="00BA5589">
            <w:pPr>
              <w:spacing w:after="0" w:line="240" w:lineRule="auto"/>
              <w:jc w:val="right"/>
              <w:rPr>
                <w:rFonts w:ascii="Arial" w:eastAsia="Times New Roman" w:hAnsi="Arial" w:cs="Arial"/>
                <w:sz w:val="24"/>
                <w:szCs w:val="24"/>
              </w:rPr>
            </w:pPr>
          </w:p>
        </w:tc>
        <w:tc>
          <w:tcPr>
            <w:tcW w:w="5762" w:type="dxa"/>
          </w:tcPr>
          <w:p w:rsidR="009E4BA4" w:rsidRPr="006E20C2" w:rsidRDefault="009E4BA4" w:rsidP="00BA5589">
            <w:pPr>
              <w:spacing w:after="0" w:line="240" w:lineRule="auto"/>
              <w:rPr>
                <w:rFonts w:ascii="Arial" w:eastAsia="Times New Roman" w:hAnsi="Arial" w:cs="Arial"/>
                <w:sz w:val="24"/>
                <w:szCs w:val="24"/>
              </w:rPr>
            </w:pPr>
            <w:r w:rsidRPr="006E20C2">
              <w:rPr>
                <w:rFonts w:ascii="Arial" w:eastAsia="Times New Roman" w:hAnsi="Arial" w:cs="Arial"/>
                <w:sz w:val="24"/>
                <w:szCs w:val="24"/>
              </w:rPr>
              <w:t>Mathematics in Context</w:t>
            </w:r>
          </w:p>
        </w:tc>
        <w:tc>
          <w:tcPr>
            <w:tcW w:w="126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16</w:t>
            </w:r>
          </w:p>
        </w:tc>
        <w:tc>
          <w:tcPr>
            <w:tcW w:w="153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8.47%</w:t>
            </w:r>
          </w:p>
        </w:tc>
      </w:tr>
      <w:tr w:rsidR="009E4BA4" w:rsidRPr="00B10B36" w:rsidTr="00BA5589">
        <w:trPr>
          <w:trHeight w:val="300"/>
        </w:trPr>
        <w:tc>
          <w:tcPr>
            <w:tcW w:w="1455" w:type="dxa"/>
            <w:shd w:val="clear" w:color="auto" w:fill="auto"/>
            <w:vAlign w:val="center"/>
            <w:hideMark/>
          </w:tcPr>
          <w:p w:rsidR="009E4BA4" w:rsidRPr="006E20C2" w:rsidRDefault="009E4BA4" w:rsidP="00BA5589">
            <w:pPr>
              <w:spacing w:after="0" w:line="240" w:lineRule="auto"/>
              <w:rPr>
                <w:rFonts w:ascii="Arial" w:eastAsia="Times New Roman" w:hAnsi="Arial" w:cs="Arial"/>
                <w:color w:val="000000"/>
                <w:sz w:val="24"/>
                <w:szCs w:val="24"/>
              </w:rPr>
            </w:pPr>
            <w:r w:rsidRPr="006E20C2">
              <w:rPr>
                <w:rFonts w:ascii="Arial" w:eastAsia="Times New Roman" w:hAnsi="Arial" w:cs="Arial"/>
                <w:color w:val="000000"/>
                <w:sz w:val="24"/>
                <w:szCs w:val="24"/>
              </w:rPr>
              <w:t>MA-005</w:t>
            </w:r>
          </w:p>
        </w:tc>
        <w:tc>
          <w:tcPr>
            <w:tcW w:w="268" w:type="dxa"/>
          </w:tcPr>
          <w:p w:rsidR="009E4BA4" w:rsidRPr="006E20C2" w:rsidRDefault="009E4BA4" w:rsidP="00BA5589">
            <w:pPr>
              <w:spacing w:after="0" w:line="240" w:lineRule="auto"/>
              <w:jc w:val="right"/>
              <w:rPr>
                <w:rFonts w:ascii="Arial" w:eastAsia="Times New Roman" w:hAnsi="Arial" w:cs="Arial"/>
                <w:sz w:val="24"/>
                <w:szCs w:val="24"/>
              </w:rPr>
            </w:pPr>
          </w:p>
        </w:tc>
        <w:tc>
          <w:tcPr>
            <w:tcW w:w="5762" w:type="dxa"/>
          </w:tcPr>
          <w:p w:rsidR="009E4BA4" w:rsidRPr="006E20C2" w:rsidRDefault="009E4BA4" w:rsidP="00BA5589">
            <w:pPr>
              <w:spacing w:after="0" w:line="240" w:lineRule="auto"/>
              <w:rPr>
                <w:rFonts w:ascii="Arial" w:eastAsia="Times New Roman" w:hAnsi="Arial" w:cs="Arial"/>
                <w:sz w:val="24"/>
                <w:szCs w:val="24"/>
              </w:rPr>
            </w:pPr>
            <w:r w:rsidRPr="006E20C2">
              <w:rPr>
                <w:rFonts w:ascii="Arial" w:eastAsia="Times New Roman" w:hAnsi="Arial" w:cs="Arial"/>
                <w:sz w:val="24"/>
                <w:szCs w:val="24"/>
              </w:rPr>
              <w:t>Statistics</w:t>
            </w:r>
          </w:p>
        </w:tc>
        <w:tc>
          <w:tcPr>
            <w:tcW w:w="126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17</w:t>
            </w:r>
          </w:p>
        </w:tc>
        <w:tc>
          <w:tcPr>
            <w:tcW w:w="153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8.99%</w:t>
            </w:r>
          </w:p>
        </w:tc>
      </w:tr>
      <w:tr w:rsidR="009E4BA4" w:rsidRPr="00B10B36" w:rsidTr="00BA5589">
        <w:trPr>
          <w:trHeight w:val="300"/>
        </w:trPr>
        <w:tc>
          <w:tcPr>
            <w:tcW w:w="1455" w:type="dxa"/>
            <w:shd w:val="clear" w:color="auto" w:fill="auto"/>
            <w:vAlign w:val="center"/>
            <w:hideMark/>
          </w:tcPr>
          <w:p w:rsidR="009E4BA4" w:rsidRPr="006E20C2" w:rsidRDefault="009E4BA4" w:rsidP="00BA5589">
            <w:pPr>
              <w:spacing w:after="0" w:line="240" w:lineRule="auto"/>
              <w:rPr>
                <w:rFonts w:ascii="Arial" w:eastAsia="Times New Roman" w:hAnsi="Arial" w:cs="Arial"/>
                <w:color w:val="000000"/>
                <w:sz w:val="24"/>
                <w:szCs w:val="24"/>
              </w:rPr>
            </w:pPr>
            <w:r w:rsidRPr="006E20C2">
              <w:rPr>
                <w:rFonts w:ascii="Arial" w:eastAsia="Times New Roman" w:hAnsi="Arial" w:cs="Arial"/>
                <w:color w:val="000000"/>
                <w:sz w:val="24"/>
                <w:szCs w:val="24"/>
              </w:rPr>
              <w:t>MA-008</w:t>
            </w:r>
          </w:p>
        </w:tc>
        <w:tc>
          <w:tcPr>
            <w:tcW w:w="268" w:type="dxa"/>
          </w:tcPr>
          <w:p w:rsidR="009E4BA4" w:rsidRPr="006E20C2" w:rsidRDefault="009E4BA4" w:rsidP="00BA5589">
            <w:pPr>
              <w:spacing w:after="0" w:line="240" w:lineRule="auto"/>
              <w:jc w:val="right"/>
              <w:rPr>
                <w:rFonts w:ascii="Arial" w:eastAsia="Times New Roman" w:hAnsi="Arial" w:cs="Arial"/>
                <w:sz w:val="24"/>
                <w:szCs w:val="24"/>
              </w:rPr>
            </w:pPr>
          </w:p>
        </w:tc>
        <w:tc>
          <w:tcPr>
            <w:tcW w:w="5762" w:type="dxa"/>
          </w:tcPr>
          <w:p w:rsidR="009E4BA4" w:rsidRPr="006E20C2" w:rsidRDefault="009E4BA4" w:rsidP="00BA5589">
            <w:pPr>
              <w:spacing w:after="0" w:line="240" w:lineRule="auto"/>
              <w:rPr>
                <w:rFonts w:ascii="Arial" w:eastAsia="Times New Roman" w:hAnsi="Arial" w:cs="Arial"/>
                <w:sz w:val="24"/>
                <w:szCs w:val="24"/>
              </w:rPr>
            </w:pPr>
            <w:r w:rsidRPr="006E20C2">
              <w:rPr>
                <w:rFonts w:ascii="Arial" w:eastAsia="Times New Roman" w:hAnsi="Arial" w:cs="Arial"/>
                <w:sz w:val="24"/>
                <w:szCs w:val="24"/>
              </w:rPr>
              <w:t>Functions and Models</w:t>
            </w:r>
          </w:p>
        </w:tc>
        <w:tc>
          <w:tcPr>
            <w:tcW w:w="126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1</w:t>
            </w:r>
          </w:p>
        </w:tc>
        <w:tc>
          <w:tcPr>
            <w:tcW w:w="153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0.53%</w:t>
            </w:r>
          </w:p>
        </w:tc>
      </w:tr>
      <w:tr w:rsidR="009E4BA4" w:rsidRPr="00B10B36" w:rsidTr="00BA5589">
        <w:trPr>
          <w:trHeight w:val="300"/>
        </w:trPr>
        <w:tc>
          <w:tcPr>
            <w:tcW w:w="1455" w:type="dxa"/>
            <w:shd w:val="clear" w:color="auto" w:fill="auto"/>
            <w:vAlign w:val="center"/>
            <w:hideMark/>
          </w:tcPr>
          <w:p w:rsidR="009E4BA4" w:rsidRPr="006E20C2" w:rsidRDefault="009E4BA4" w:rsidP="00BA5589">
            <w:pPr>
              <w:spacing w:after="0" w:line="240" w:lineRule="auto"/>
              <w:rPr>
                <w:rFonts w:ascii="Arial" w:eastAsia="Times New Roman" w:hAnsi="Arial" w:cs="Arial"/>
                <w:color w:val="000000"/>
                <w:sz w:val="24"/>
                <w:szCs w:val="24"/>
              </w:rPr>
            </w:pPr>
            <w:r w:rsidRPr="006E20C2">
              <w:rPr>
                <w:rFonts w:ascii="Arial" w:eastAsia="Times New Roman" w:hAnsi="Arial" w:cs="Arial"/>
                <w:color w:val="000000"/>
                <w:sz w:val="24"/>
                <w:szCs w:val="24"/>
              </w:rPr>
              <w:t>MA-009</w:t>
            </w:r>
          </w:p>
        </w:tc>
        <w:tc>
          <w:tcPr>
            <w:tcW w:w="268" w:type="dxa"/>
          </w:tcPr>
          <w:p w:rsidR="009E4BA4" w:rsidRPr="006E20C2" w:rsidRDefault="009E4BA4" w:rsidP="00BA5589">
            <w:pPr>
              <w:spacing w:after="0" w:line="240" w:lineRule="auto"/>
              <w:jc w:val="right"/>
              <w:rPr>
                <w:rFonts w:ascii="Arial" w:eastAsia="Times New Roman" w:hAnsi="Arial" w:cs="Arial"/>
                <w:sz w:val="24"/>
                <w:szCs w:val="24"/>
              </w:rPr>
            </w:pPr>
          </w:p>
        </w:tc>
        <w:tc>
          <w:tcPr>
            <w:tcW w:w="5762" w:type="dxa"/>
          </w:tcPr>
          <w:p w:rsidR="009E4BA4" w:rsidRPr="006E20C2" w:rsidRDefault="009E4BA4" w:rsidP="00BA5589">
            <w:pPr>
              <w:spacing w:after="0" w:line="240" w:lineRule="auto"/>
              <w:rPr>
                <w:rFonts w:ascii="Arial" w:eastAsia="Times New Roman" w:hAnsi="Arial" w:cs="Arial"/>
                <w:sz w:val="24"/>
                <w:szCs w:val="24"/>
              </w:rPr>
            </w:pPr>
            <w:r w:rsidRPr="006E20C2">
              <w:rPr>
                <w:rFonts w:ascii="Arial" w:eastAsia="Times New Roman" w:hAnsi="Arial" w:cs="Arial"/>
                <w:sz w:val="24"/>
                <w:szCs w:val="24"/>
              </w:rPr>
              <w:t>Calculus I</w:t>
            </w:r>
          </w:p>
        </w:tc>
        <w:tc>
          <w:tcPr>
            <w:tcW w:w="126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13</w:t>
            </w:r>
          </w:p>
        </w:tc>
        <w:tc>
          <w:tcPr>
            <w:tcW w:w="153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6.88%</w:t>
            </w:r>
          </w:p>
        </w:tc>
      </w:tr>
      <w:tr w:rsidR="009E4BA4" w:rsidRPr="00B10B36" w:rsidTr="00BA5589">
        <w:trPr>
          <w:trHeight w:val="300"/>
        </w:trPr>
        <w:tc>
          <w:tcPr>
            <w:tcW w:w="1455" w:type="dxa"/>
            <w:shd w:val="clear" w:color="auto" w:fill="auto"/>
            <w:vAlign w:val="center"/>
            <w:hideMark/>
          </w:tcPr>
          <w:p w:rsidR="009E4BA4" w:rsidRPr="006E20C2" w:rsidRDefault="009E4BA4" w:rsidP="00BA5589">
            <w:pPr>
              <w:spacing w:after="0" w:line="240" w:lineRule="auto"/>
              <w:rPr>
                <w:rFonts w:ascii="Arial" w:eastAsia="Times New Roman" w:hAnsi="Arial" w:cs="Arial"/>
                <w:color w:val="000000"/>
                <w:sz w:val="24"/>
                <w:szCs w:val="24"/>
              </w:rPr>
            </w:pPr>
            <w:r w:rsidRPr="006E20C2">
              <w:rPr>
                <w:rFonts w:ascii="Arial" w:eastAsia="Times New Roman" w:hAnsi="Arial" w:cs="Arial"/>
                <w:color w:val="000000"/>
                <w:sz w:val="24"/>
                <w:szCs w:val="24"/>
              </w:rPr>
              <w:t>MA-010</w:t>
            </w:r>
          </w:p>
        </w:tc>
        <w:tc>
          <w:tcPr>
            <w:tcW w:w="268" w:type="dxa"/>
          </w:tcPr>
          <w:p w:rsidR="009E4BA4" w:rsidRPr="006E20C2" w:rsidRDefault="009E4BA4" w:rsidP="00BA5589">
            <w:pPr>
              <w:spacing w:after="0" w:line="240" w:lineRule="auto"/>
              <w:jc w:val="right"/>
              <w:rPr>
                <w:rFonts w:ascii="Arial" w:eastAsia="Times New Roman" w:hAnsi="Arial" w:cs="Arial"/>
                <w:sz w:val="24"/>
                <w:szCs w:val="24"/>
              </w:rPr>
            </w:pPr>
          </w:p>
        </w:tc>
        <w:tc>
          <w:tcPr>
            <w:tcW w:w="5762" w:type="dxa"/>
          </w:tcPr>
          <w:p w:rsidR="009E4BA4" w:rsidRPr="006E20C2" w:rsidRDefault="009E4BA4" w:rsidP="00BA5589">
            <w:pPr>
              <w:spacing w:after="0" w:line="240" w:lineRule="auto"/>
              <w:rPr>
                <w:rFonts w:ascii="Arial" w:eastAsia="Times New Roman" w:hAnsi="Arial" w:cs="Arial"/>
                <w:sz w:val="24"/>
                <w:szCs w:val="24"/>
              </w:rPr>
            </w:pPr>
            <w:r w:rsidRPr="006E20C2">
              <w:rPr>
                <w:rFonts w:ascii="Arial" w:eastAsia="Times New Roman" w:hAnsi="Arial" w:cs="Arial"/>
                <w:sz w:val="24"/>
                <w:szCs w:val="24"/>
              </w:rPr>
              <w:t>Calculus II</w:t>
            </w:r>
          </w:p>
        </w:tc>
        <w:tc>
          <w:tcPr>
            <w:tcW w:w="126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1</w:t>
            </w:r>
          </w:p>
        </w:tc>
        <w:tc>
          <w:tcPr>
            <w:tcW w:w="153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0.53%</w:t>
            </w:r>
          </w:p>
        </w:tc>
      </w:tr>
      <w:tr w:rsidR="009E4BA4" w:rsidRPr="00B10B36" w:rsidTr="00BA5589">
        <w:trPr>
          <w:trHeight w:val="300"/>
        </w:trPr>
        <w:tc>
          <w:tcPr>
            <w:tcW w:w="1455" w:type="dxa"/>
            <w:shd w:val="clear" w:color="auto" w:fill="auto"/>
            <w:vAlign w:val="center"/>
            <w:hideMark/>
          </w:tcPr>
          <w:p w:rsidR="009E4BA4" w:rsidRPr="006E20C2" w:rsidRDefault="009E4BA4" w:rsidP="00BA5589">
            <w:pPr>
              <w:spacing w:after="0" w:line="240" w:lineRule="auto"/>
              <w:rPr>
                <w:rFonts w:ascii="Arial" w:eastAsia="Times New Roman" w:hAnsi="Arial" w:cs="Arial"/>
                <w:color w:val="000000"/>
                <w:sz w:val="24"/>
                <w:szCs w:val="24"/>
              </w:rPr>
            </w:pPr>
            <w:r w:rsidRPr="006E20C2">
              <w:rPr>
                <w:rFonts w:ascii="Arial" w:eastAsia="Times New Roman" w:hAnsi="Arial" w:cs="Arial"/>
                <w:color w:val="000000"/>
                <w:sz w:val="24"/>
                <w:szCs w:val="24"/>
              </w:rPr>
              <w:t>MA-019</w:t>
            </w:r>
          </w:p>
        </w:tc>
        <w:tc>
          <w:tcPr>
            <w:tcW w:w="268" w:type="dxa"/>
          </w:tcPr>
          <w:p w:rsidR="009E4BA4" w:rsidRPr="006E20C2" w:rsidRDefault="009E4BA4" w:rsidP="00BA5589">
            <w:pPr>
              <w:spacing w:after="0" w:line="240" w:lineRule="auto"/>
              <w:jc w:val="right"/>
              <w:rPr>
                <w:rFonts w:ascii="Arial" w:eastAsia="Times New Roman" w:hAnsi="Arial" w:cs="Arial"/>
                <w:sz w:val="24"/>
                <w:szCs w:val="24"/>
              </w:rPr>
            </w:pPr>
          </w:p>
        </w:tc>
        <w:tc>
          <w:tcPr>
            <w:tcW w:w="5762" w:type="dxa"/>
          </w:tcPr>
          <w:p w:rsidR="009E4BA4" w:rsidRPr="006E20C2" w:rsidRDefault="009E4BA4" w:rsidP="00BA5589">
            <w:pPr>
              <w:spacing w:after="0" w:line="240" w:lineRule="auto"/>
              <w:rPr>
                <w:rFonts w:ascii="Arial" w:eastAsia="Times New Roman" w:hAnsi="Arial" w:cs="Arial"/>
                <w:sz w:val="24"/>
                <w:szCs w:val="24"/>
              </w:rPr>
            </w:pPr>
            <w:r w:rsidRPr="006E20C2">
              <w:rPr>
                <w:rFonts w:ascii="Arial" w:eastAsia="Times New Roman" w:hAnsi="Arial" w:cs="Arial"/>
                <w:sz w:val="24"/>
                <w:szCs w:val="24"/>
              </w:rPr>
              <w:t>Multivariable Calculus</w:t>
            </w:r>
          </w:p>
        </w:tc>
        <w:tc>
          <w:tcPr>
            <w:tcW w:w="126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2</w:t>
            </w:r>
          </w:p>
        </w:tc>
        <w:tc>
          <w:tcPr>
            <w:tcW w:w="153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1.06%</w:t>
            </w:r>
          </w:p>
        </w:tc>
      </w:tr>
      <w:tr w:rsidR="009E4BA4" w:rsidRPr="00B10B36" w:rsidTr="00BA5589">
        <w:trPr>
          <w:trHeight w:val="300"/>
        </w:trPr>
        <w:tc>
          <w:tcPr>
            <w:tcW w:w="1455" w:type="dxa"/>
            <w:shd w:val="clear" w:color="auto" w:fill="auto"/>
            <w:vAlign w:val="center"/>
            <w:hideMark/>
          </w:tcPr>
          <w:p w:rsidR="009E4BA4" w:rsidRPr="006E20C2" w:rsidRDefault="009E4BA4" w:rsidP="00BA5589">
            <w:pPr>
              <w:spacing w:after="0" w:line="240" w:lineRule="auto"/>
              <w:rPr>
                <w:rFonts w:ascii="Arial" w:eastAsia="Times New Roman" w:hAnsi="Arial" w:cs="Arial"/>
                <w:color w:val="000000"/>
                <w:sz w:val="24"/>
                <w:szCs w:val="24"/>
              </w:rPr>
            </w:pPr>
            <w:r w:rsidRPr="006E20C2">
              <w:rPr>
                <w:rFonts w:ascii="Arial" w:eastAsia="Times New Roman" w:hAnsi="Arial" w:cs="Arial"/>
                <w:color w:val="000000"/>
                <w:sz w:val="24"/>
                <w:szCs w:val="24"/>
              </w:rPr>
              <w:t>MA-165</w:t>
            </w:r>
          </w:p>
        </w:tc>
        <w:tc>
          <w:tcPr>
            <w:tcW w:w="268" w:type="dxa"/>
          </w:tcPr>
          <w:p w:rsidR="009E4BA4" w:rsidRPr="006E20C2" w:rsidRDefault="009E4BA4" w:rsidP="00BA5589">
            <w:pPr>
              <w:spacing w:after="0" w:line="240" w:lineRule="auto"/>
              <w:jc w:val="right"/>
              <w:rPr>
                <w:rFonts w:ascii="Arial" w:eastAsia="Times New Roman" w:hAnsi="Arial" w:cs="Arial"/>
                <w:sz w:val="24"/>
                <w:szCs w:val="24"/>
              </w:rPr>
            </w:pPr>
          </w:p>
        </w:tc>
        <w:tc>
          <w:tcPr>
            <w:tcW w:w="5762" w:type="dxa"/>
          </w:tcPr>
          <w:p w:rsidR="009E4BA4" w:rsidRPr="006E20C2" w:rsidRDefault="009E4BA4" w:rsidP="00BA5589">
            <w:pPr>
              <w:spacing w:after="0" w:line="240" w:lineRule="auto"/>
              <w:rPr>
                <w:rFonts w:ascii="Arial" w:eastAsia="Times New Roman" w:hAnsi="Arial" w:cs="Arial"/>
                <w:sz w:val="24"/>
                <w:szCs w:val="24"/>
              </w:rPr>
            </w:pPr>
            <w:r w:rsidRPr="006E20C2">
              <w:rPr>
                <w:rFonts w:ascii="Arial" w:eastAsia="Times New Roman" w:hAnsi="Arial" w:cs="Arial"/>
                <w:sz w:val="24"/>
                <w:szCs w:val="24"/>
              </w:rPr>
              <w:t>Fundamentals of Mathematics II</w:t>
            </w:r>
          </w:p>
        </w:tc>
        <w:tc>
          <w:tcPr>
            <w:tcW w:w="126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1</w:t>
            </w:r>
          </w:p>
        </w:tc>
        <w:tc>
          <w:tcPr>
            <w:tcW w:w="153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0.53%</w:t>
            </w:r>
          </w:p>
        </w:tc>
      </w:tr>
      <w:tr w:rsidR="009E4BA4" w:rsidRPr="00B10B36" w:rsidTr="00BA5589">
        <w:trPr>
          <w:trHeight w:val="300"/>
        </w:trPr>
        <w:tc>
          <w:tcPr>
            <w:tcW w:w="1455" w:type="dxa"/>
            <w:shd w:val="clear" w:color="auto" w:fill="auto"/>
            <w:vAlign w:val="center"/>
            <w:hideMark/>
          </w:tcPr>
          <w:p w:rsidR="009E4BA4" w:rsidRPr="006E20C2" w:rsidRDefault="009E4BA4" w:rsidP="00BA5589">
            <w:pPr>
              <w:spacing w:after="0" w:line="240" w:lineRule="auto"/>
              <w:rPr>
                <w:rFonts w:ascii="Arial" w:eastAsia="Times New Roman" w:hAnsi="Arial" w:cs="Arial"/>
                <w:color w:val="000000"/>
                <w:sz w:val="24"/>
                <w:szCs w:val="24"/>
              </w:rPr>
            </w:pPr>
            <w:r w:rsidRPr="006E20C2">
              <w:rPr>
                <w:rFonts w:ascii="Arial" w:eastAsia="Times New Roman" w:hAnsi="Arial" w:cs="Arial"/>
                <w:color w:val="000000"/>
                <w:sz w:val="24"/>
                <w:szCs w:val="24"/>
              </w:rPr>
              <w:t>PHS-007</w:t>
            </w:r>
          </w:p>
        </w:tc>
        <w:tc>
          <w:tcPr>
            <w:tcW w:w="268" w:type="dxa"/>
          </w:tcPr>
          <w:p w:rsidR="009E4BA4" w:rsidRPr="006E20C2" w:rsidRDefault="009E4BA4" w:rsidP="00BA5589">
            <w:pPr>
              <w:spacing w:after="0" w:line="240" w:lineRule="auto"/>
              <w:jc w:val="right"/>
              <w:rPr>
                <w:rFonts w:ascii="Arial" w:eastAsia="Times New Roman" w:hAnsi="Arial" w:cs="Arial"/>
                <w:sz w:val="24"/>
                <w:szCs w:val="24"/>
              </w:rPr>
            </w:pPr>
          </w:p>
        </w:tc>
        <w:tc>
          <w:tcPr>
            <w:tcW w:w="5762" w:type="dxa"/>
          </w:tcPr>
          <w:p w:rsidR="009E4BA4" w:rsidRPr="006E20C2" w:rsidRDefault="009E4BA4" w:rsidP="00BA5589">
            <w:pPr>
              <w:spacing w:after="0" w:line="240" w:lineRule="auto"/>
              <w:rPr>
                <w:rFonts w:ascii="Arial" w:eastAsia="Times New Roman" w:hAnsi="Arial" w:cs="Arial"/>
                <w:sz w:val="24"/>
                <w:szCs w:val="24"/>
              </w:rPr>
            </w:pPr>
            <w:r w:rsidRPr="006E20C2">
              <w:rPr>
                <w:rFonts w:ascii="Arial" w:eastAsia="Times New Roman" w:hAnsi="Arial" w:cs="Arial"/>
                <w:sz w:val="24"/>
                <w:szCs w:val="24"/>
              </w:rPr>
              <w:t>Astronomy: Discovering the Universe</w:t>
            </w:r>
          </w:p>
        </w:tc>
        <w:tc>
          <w:tcPr>
            <w:tcW w:w="126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39</w:t>
            </w:r>
          </w:p>
        </w:tc>
        <w:tc>
          <w:tcPr>
            <w:tcW w:w="153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20.63%</w:t>
            </w:r>
          </w:p>
        </w:tc>
      </w:tr>
      <w:tr w:rsidR="009E4BA4" w:rsidRPr="00B10B36" w:rsidTr="00BA5589">
        <w:trPr>
          <w:trHeight w:val="300"/>
        </w:trPr>
        <w:tc>
          <w:tcPr>
            <w:tcW w:w="1455" w:type="dxa"/>
            <w:shd w:val="clear" w:color="auto" w:fill="auto"/>
            <w:vAlign w:val="center"/>
            <w:hideMark/>
          </w:tcPr>
          <w:p w:rsidR="009E4BA4" w:rsidRPr="006E20C2" w:rsidRDefault="009E4BA4" w:rsidP="00BA5589">
            <w:pPr>
              <w:spacing w:after="0" w:line="240" w:lineRule="auto"/>
              <w:rPr>
                <w:rFonts w:ascii="Arial" w:eastAsia="Times New Roman" w:hAnsi="Arial" w:cs="Arial"/>
                <w:color w:val="000000"/>
                <w:sz w:val="24"/>
                <w:szCs w:val="24"/>
              </w:rPr>
            </w:pPr>
            <w:r w:rsidRPr="006E20C2">
              <w:rPr>
                <w:rFonts w:ascii="Arial" w:eastAsia="Times New Roman" w:hAnsi="Arial" w:cs="Arial"/>
                <w:color w:val="000000"/>
                <w:sz w:val="24"/>
                <w:szCs w:val="24"/>
              </w:rPr>
              <w:t>PHS-011</w:t>
            </w:r>
          </w:p>
        </w:tc>
        <w:tc>
          <w:tcPr>
            <w:tcW w:w="268" w:type="dxa"/>
          </w:tcPr>
          <w:p w:rsidR="009E4BA4" w:rsidRPr="006E20C2" w:rsidRDefault="009E4BA4" w:rsidP="00BA5589">
            <w:pPr>
              <w:spacing w:after="0" w:line="240" w:lineRule="auto"/>
              <w:jc w:val="right"/>
              <w:rPr>
                <w:rFonts w:ascii="Arial" w:eastAsia="Times New Roman" w:hAnsi="Arial" w:cs="Arial"/>
                <w:sz w:val="24"/>
                <w:szCs w:val="24"/>
              </w:rPr>
            </w:pPr>
          </w:p>
        </w:tc>
        <w:tc>
          <w:tcPr>
            <w:tcW w:w="5762" w:type="dxa"/>
          </w:tcPr>
          <w:p w:rsidR="009E4BA4" w:rsidRPr="006E20C2" w:rsidRDefault="009E4BA4" w:rsidP="00BA5589">
            <w:pPr>
              <w:spacing w:after="0" w:line="240" w:lineRule="auto"/>
              <w:rPr>
                <w:rFonts w:ascii="Arial" w:eastAsia="Times New Roman" w:hAnsi="Arial" w:cs="Arial"/>
                <w:sz w:val="24"/>
                <w:szCs w:val="24"/>
              </w:rPr>
            </w:pPr>
            <w:r w:rsidRPr="006E20C2">
              <w:rPr>
                <w:rFonts w:ascii="Arial" w:eastAsia="Times New Roman" w:hAnsi="Arial" w:cs="Arial"/>
                <w:sz w:val="24"/>
                <w:szCs w:val="24"/>
              </w:rPr>
              <w:t>Introduction to Physical Science</w:t>
            </w:r>
          </w:p>
        </w:tc>
        <w:tc>
          <w:tcPr>
            <w:tcW w:w="126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30</w:t>
            </w:r>
          </w:p>
        </w:tc>
        <w:tc>
          <w:tcPr>
            <w:tcW w:w="153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15.87%</w:t>
            </w:r>
          </w:p>
        </w:tc>
      </w:tr>
      <w:tr w:rsidR="009E4BA4" w:rsidRPr="00B10B36" w:rsidTr="00BA5589">
        <w:trPr>
          <w:trHeight w:val="300"/>
        </w:trPr>
        <w:tc>
          <w:tcPr>
            <w:tcW w:w="1455" w:type="dxa"/>
            <w:shd w:val="clear" w:color="auto" w:fill="auto"/>
            <w:vAlign w:val="center"/>
            <w:hideMark/>
          </w:tcPr>
          <w:p w:rsidR="009E4BA4" w:rsidRPr="006E20C2" w:rsidRDefault="009E4BA4" w:rsidP="00BA5589">
            <w:pPr>
              <w:spacing w:after="0" w:line="240" w:lineRule="auto"/>
              <w:rPr>
                <w:rFonts w:ascii="Arial" w:eastAsia="Times New Roman" w:hAnsi="Arial" w:cs="Arial"/>
                <w:color w:val="000000"/>
                <w:sz w:val="24"/>
                <w:szCs w:val="24"/>
              </w:rPr>
            </w:pPr>
            <w:r w:rsidRPr="006E20C2">
              <w:rPr>
                <w:rFonts w:ascii="Arial" w:eastAsia="Times New Roman" w:hAnsi="Arial" w:cs="Arial"/>
                <w:color w:val="000000"/>
                <w:sz w:val="24"/>
                <w:szCs w:val="24"/>
              </w:rPr>
              <w:t>PHY-017</w:t>
            </w:r>
          </w:p>
        </w:tc>
        <w:tc>
          <w:tcPr>
            <w:tcW w:w="268" w:type="dxa"/>
          </w:tcPr>
          <w:p w:rsidR="009E4BA4" w:rsidRPr="006E20C2" w:rsidRDefault="009E4BA4" w:rsidP="00BA5589">
            <w:pPr>
              <w:spacing w:after="0" w:line="240" w:lineRule="auto"/>
              <w:jc w:val="right"/>
              <w:rPr>
                <w:rFonts w:ascii="Arial" w:eastAsia="Times New Roman" w:hAnsi="Arial" w:cs="Arial"/>
                <w:sz w:val="24"/>
                <w:szCs w:val="24"/>
              </w:rPr>
            </w:pPr>
          </w:p>
        </w:tc>
        <w:tc>
          <w:tcPr>
            <w:tcW w:w="5762" w:type="dxa"/>
          </w:tcPr>
          <w:p w:rsidR="009E4BA4" w:rsidRPr="006E20C2" w:rsidRDefault="009E4BA4" w:rsidP="00BA5589">
            <w:pPr>
              <w:spacing w:after="0" w:line="240" w:lineRule="auto"/>
              <w:rPr>
                <w:rFonts w:ascii="Arial" w:eastAsia="Times New Roman" w:hAnsi="Arial" w:cs="Arial"/>
                <w:sz w:val="24"/>
                <w:szCs w:val="24"/>
              </w:rPr>
            </w:pPr>
            <w:r w:rsidRPr="006E20C2">
              <w:rPr>
                <w:rFonts w:ascii="Arial" w:eastAsia="Times New Roman" w:hAnsi="Arial" w:cs="Arial"/>
                <w:sz w:val="24"/>
                <w:szCs w:val="24"/>
              </w:rPr>
              <w:t>Physics of Music</w:t>
            </w:r>
          </w:p>
        </w:tc>
        <w:tc>
          <w:tcPr>
            <w:tcW w:w="126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24</w:t>
            </w:r>
          </w:p>
        </w:tc>
        <w:tc>
          <w:tcPr>
            <w:tcW w:w="153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12.70%</w:t>
            </w:r>
          </w:p>
        </w:tc>
      </w:tr>
      <w:tr w:rsidR="009E4BA4" w:rsidRPr="00B10B36" w:rsidTr="00BA5589">
        <w:trPr>
          <w:trHeight w:val="300"/>
        </w:trPr>
        <w:tc>
          <w:tcPr>
            <w:tcW w:w="1455" w:type="dxa"/>
            <w:shd w:val="clear" w:color="auto" w:fill="auto"/>
            <w:vAlign w:val="center"/>
            <w:hideMark/>
          </w:tcPr>
          <w:p w:rsidR="009E4BA4" w:rsidRPr="006E20C2" w:rsidRDefault="009E4BA4" w:rsidP="00BA5589">
            <w:pPr>
              <w:spacing w:after="0" w:line="240" w:lineRule="auto"/>
              <w:rPr>
                <w:rFonts w:ascii="Arial" w:eastAsia="Times New Roman" w:hAnsi="Arial" w:cs="Arial"/>
                <w:color w:val="000000"/>
                <w:sz w:val="24"/>
                <w:szCs w:val="24"/>
              </w:rPr>
            </w:pPr>
            <w:r w:rsidRPr="006E20C2">
              <w:rPr>
                <w:rFonts w:ascii="Arial" w:eastAsia="Times New Roman" w:hAnsi="Arial" w:cs="Arial"/>
                <w:color w:val="000000"/>
                <w:sz w:val="24"/>
                <w:szCs w:val="24"/>
              </w:rPr>
              <w:t>PHY-011</w:t>
            </w:r>
          </w:p>
        </w:tc>
        <w:tc>
          <w:tcPr>
            <w:tcW w:w="268" w:type="dxa"/>
          </w:tcPr>
          <w:p w:rsidR="009E4BA4" w:rsidRPr="006E20C2" w:rsidRDefault="009E4BA4" w:rsidP="00BA5589">
            <w:pPr>
              <w:spacing w:after="0" w:line="240" w:lineRule="auto"/>
              <w:jc w:val="right"/>
              <w:rPr>
                <w:rFonts w:ascii="Arial" w:eastAsia="Times New Roman" w:hAnsi="Arial" w:cs="Arial"/>
                <w:sz w:val="24"/>
                <w:szCs w:val="24"/>
              </w:rPr>
            </w:pPr>
          </w:p>
        </w:tc>
        <w:tc>
          <w:tcPr>
            <w:tcW w:w="5762" w:type="dxa"/>
          </w:tcPr>
          <w:p w:rsidR="009E4BA4" w:rsidRPr="006E20C2" w:rsidRDefault="009E4BA4" w:rsidP="00BA5589">
            <w:pPr>
              <w:spacing w:after="0" w:line="240" w:lineRule="auto"/>
              <w:rPr>
                <w:rFonts w:ascii="Arial" w:eastAsia="Times New Roman" w:hAnsi="Arial" w:cs="Arial"/>
                <w:sz w:val="24"/>
                <w:szCs w:val="24"/>
              </w:rPr>
            </w:pPr>
            <w:r w:rsidRPr="006E20C2">
              <w:rPr>
                <w:rFonts w:ascii="Arial" w:eastAsia="Times New Roman" w:hAnsi="Arial" w:cs="Arial"/>
                <w:sz w:val="24"/>
                <w:szCs w:val="24"/>
              </w:rPr>
              <w:t>Physics for Life Sciences I</w:t>
            </w:r>
          </w:p>
        </w:tc>
        <w:tc>
          <w:tcPr>
            <w:tcW w:w="126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2</w:t>
            </w:r>
          </w:p>
        </w:tc>
        <w:tc>
          <w:tcPr>
            <w:tcW w:w="1530" w:type="dxa"/>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1.06%</w:t>
            </w:r>
          </w:p>
        </w:tc>
      </w:tr>
      <w:tr w:rsidR="009E4BA4" w:rsidRPr="00B10B36" w:rsidTr="00BA5589">
        <w:trPr>
          <w:trHeight w:val="300"/>
        </w:trPr>
        <w:tc>
          <w:tcPr>
            <w:tcW w:w="1455" w:type="dxa"/>
            <w:tcBorders>
              <w:bottom w:val="nil"/>
            </w:tcBorders>
            <w:shd w:val="clear" w:color="auto" w:fill="auto"/>
            <w:vAlign w:val="center"/>
            <w:hideMark/>
          </w:tcPr>
          <w:p w:rsidR="009E4BA4" w:rsidRPr="006E20C2" w:rsidRDefault="009E4BA4" w:rsidP="00BA5589">
            <w:pPr>
              <w:spacing w:after="0" w:line="240" w:lineRule="auto"/>
              <w:rPr>
                <w:rFonts w:ascii="Arial" w:eastAsia="Times New Roman" w:hAnsi="Arial" w:cs="Arial"/>
                <w:color w:val="000000"/>
                <w:sz w:val="24"/>
                <w:szCs w:val="24"/>
              </w:rPr>
            </w:pPr>
            <w:r w:rsidRPr="006E20C2">
              <w:rPr>
                <w:rFonts w:ascii="Arial" w:eastAsia="Times New Roman" w:hAnsi="Arial" w:cs="Arial"/>
                <w:color w:val="000000"/>
                <w:sz w:val="24"/>
                <w:szCs w:val="24"/>
              </w:rPr>
              <w:t>PHY-021</w:t>
            </w:r>
          </w:p>
        </w:tc>
        <w:tc>
          <w:tcPr>
            <w:tcW w:w="268" w:type="dxa"/>
            <w:tcBorders>
              <w:bottom w:val="nil"/>
            </w:tcBorders>
          </w:tcPr>
          <w:p w:rsidR="009E4BA4" w:rsidRPr="006E20C2" w:rsidRDefault="009E4BA4" w:rsidP="00BA5589">
            <w:pPr>
              <w:spacing w:after="0" w:line="240" w:lineRule="auto"/>
              <w:jc w:val="right"/>
              <w:rPr>
                <w:rFonts w:ascii="Arial" w:eastAsia="Times New Roman" w:hAnsi="Arial" w:cs="Arial"/>
                <w:sz w:val="24"/>
                <w:szCs w:val="24"/>
              </w:rPr>
            </w:pPr>
          </w:p>
        </w:tc>
        <w:tc>
          <w:tcPr>
            <w:tcW w:w="5762" w:type="dxa"/>
            <w:tcBorders>
              <w:bottom w:val="nil"/>
            </w:tcBorders>
          </w:tcPr>
          <w:p w:rsidR="009E4BA4" w:rsidRPr="006E20C2" w:rsidRDefault="009E4BA4" w:rsidP="00BA5589">
            <w:pPr>
              <w:spacing w:after="0" w:line="240" w:lineRule="auto"/>
              <w:rPr>
                <w:rFonts w:ascii="Arial" w:eastAsia="Times New Roman" w:hAnsi="Arial" w:cs="Arial"/>
                <w:sz w:val="24"/>
                <w:szCs w:val="24"/>
              </w:rPr>
            </w:pPr>
            <w:r w:rsidRPr="006E20C2">
              <w:rPr>
                <w:rFonts w:ascii="Arial" w:eastAsia="Times New Roman" w:hAnsi="Arial" w:cs="Arial"/>
                <w:sz w:val="24"/>
                <w:szCs w:val="24"/>
              </w:rPr>
              <w:t>General Physics I: Mechanics and Heat</w:t>
            </w:r>
          </w:p>
        </w:tc>
        <w:tc>
          <w:tcPr>
            <w:tcW w:w="1260" w:type="dxa"/>
            <w:tcBorders>
              <w:bottom w:val="nil"/>
            </w:tcBorders>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1</w:t>
            </w:r>
          </w:p>
        </w:tc>
        <w:tc>
          <w:tcPr>
            <w:tcW w:w="1530" w:type="dxa"/>
            <w:tcBorders>
              <w:bottom w:val="nil"/>
            </w:tcBorders>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0.53%</w:t>
            </w:r>
          </w:p>
        </w:tc>
      </w:tr>
      <w:tr w:rsidR="009E4BA4" w:rsidRPr="00B10B36" w:rsidTr="009E4BA4">
        <w:trPr>
          <w:trHeight w:val="300"/>
        </w:trPr>
        <w:tc>
          <w:tcPr>
            <w:tcW w:w="1455" w:type="dxa"/>
            <w:tcBorders>
              <w:top w:val="nil"/>
              <w:bottom w:val="single" w:sz="4" w:space="0" w:color="auto"/>
            </w:tcBorders>
            <w:shd w:val="clear" w:color="auto" w:fill="auto"/>
            <w:noWrap/>
            <w:hideMark/>
          </w:tcPr>
          <w:p w:rsidR="009E4BA4" w:rsidRPr="006E20C2" w:rsidRDefault="009E4BA4" w:rsidP="009E4BA4">
            <w:pPr>
              <w:spacing w:after="0" w:line="240" w:lineRule="auto"/>
              <w:rPr>
                <w:rFonts w:ascii="Arial" w:eastAsia="Times New Roman" w:hAnsi="Arial" w:cs="Arial"/>
                <w:color w:val="000000"/>
                <w:sz w:val="24"/>
                <w:szCs w:val="24"/>
              </w:rPr>
            </w:pPr>
            <w:r w:rsidRPr="006E20C2">
              <w:rPr>
                <w:rFonts w:ascii="Arial" w:eastAsia="Times New Roman" w:hAnsi="Arial" w:cs="Arial"/>
                <w:color w:val="000000"/>
                <w:sz w:val="24"/>
                <w:szCs w:val="24"/>
              </w:rPr>
              <w:t xml:space="preserve">PHY 1110 </w:t>
            </w:r>
          </w:p>
        </w:tc>
        <w:tc>
          <w:tcPr>
            <w:tcW w:w="268" w:type="dxa"/>
            <w:tcBorders>
              <w:top w:val="nil"/>
              <w:bottom w:val="single" w:sz="4" w:space="0" w:color="auto"/>
            </w:tcBorders>
          </w:tcPr>
          <w:p w:rsidR="009E4BA4" w:rsidRPr="006E20C2" w:rsidRDefault="009E4BA4" w:rsidP="00BA5589">
            <w:pPr>
              <w:spacing w:after="0" w:line="240" w:lineRule="auto"/>
              <w:jc w:val="right"/>
              <w:rPr>
                <w:rFonts w:ascii="Arial" w:eastAsia="Times New Roman" w:hAnsi="Arial" w:cs="Arial"/>
                <w:sz w:val="24"/>
                <w:szCs w:val="24"/>
              </w:rPr>
            </w:pPr>
          </w:p>
        </w:tc>
        <w:tc>
          <w:tcPr>
            <w:tcW w:w="5762" w:type="dxa"/>
            <w:tcBorders>
              <w:top w:val="nil"/>
              <w:bottom w:val="single" w:sz="4" w:space="0" w:color="auto"/>
            </w:tcBorders>
          </w:tcPr>
          <w:p w:rsidR="009E4BA4" w:rsidRPr="006E20C2" w:rsidRDefault="009E4BA4" w:rsidP="00301205">
            <w:pPr>
              <w:spacing w:after="0" w:line="240" w:lineRule="auto"/>
              <w:rPr>
                <w:rFonts w:ascii="Arial" w:eastAsia="Times New Roman" w:hAnsi="Arial" w:cs="Arial"/>
                <w:sz w:val="24"/>
                <w:szCs w:val="24"/>
              </w:rPr>
            </w:pPr>
            <w:r w:rsidRPr="006E20C2">
              <w:rPr>
                <w:rFonts w:ascii="Arial" w:eastAsia="Times New Roman" w:hAnsi="Arial" w:cs="Arial"/>
                <w:sz w:val="24"/>
                <w:szCs w:val="24"/>
              </w:rPr>
              <w:t xml:space="preserve">Introduction to the Natural Sciences (although this </w:t>
            </w:r>
            <w:r w:rsidR="00301205">
              <w:rPr>
                <w:rFonts w:ascii="Arial" w:eastAsia="Times New Roman" w:hAnsi="Arial" w:cs="Arial"/>
                <w:sz w:val="24"/>
                <w:szCs w:val="24"/>
              </w:rPr>
              <w:t>may be</w:t>
            </w:r>
            <w:r w:rsidRPr="006E20C2">
              <w:rPr>
                <w:rFonts w:ascii="Arial" w:eastAsia="Times New Roman" w:hAnsi="Arial" w:cs="Arial"/>
                <w:sz w:val="24"/>
                <w:szCs w:val="24"/>
              </w:rPr>
              <w:t xml:space="preserve"> a transfer course that was miscoded as a Westmont course)</w:t>
            </w:r>
          </w:p>
        </w:tc>
        <w:tc>
          <w:tcPr>
            <w:tcW w:w="1260" w:type="dxa"/>
            <w:tcBorders>
              <w:top w:val="nil"/>
              <w:bottom w:val="single" w:sz="4" w:space="0" w:color="auto"/>
            </w:tcBorders>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1</w:t>
            </w:r>
          </w:p>
        </w:tc>
        <w:tc>
          <w:tcPr>
            <w:tcW w:w="1530" w:type="dxa"/>
            <w:tcBorders>
              <w:top w:val="nil"/>
              <w:bottom w:val="single" w:sz="4" w:space="0" w:color="auto"/>
            </w:tcBorders>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0.53%</w:t>
            </w:r>
          </w:p>
        </w:tc>
      </w:tr>
      <w:tr w:rsidR="009E4BA4" w:rsidRPr="00B10B36" w:rsidTr="00BA5589">
        <w:trPr>
          <w:trHeight w:val="300"/>
        </w:trPr>
        <w:tc>
          <w:tcPr>
            <w:tcW w:w="1455" w:type="dxa"/>
            <w:tcBorders>
              <w:top w:val="single" w:sz="4" w:space="0" w:color="auto"/>
            </w:tcBorders>
            <w:shd w:val="clear" w:color="auto" w:fill="auto"/>
            <w:vAlign w:val="center"/>
            <w:hideMark/>
          </w:tcPr>
          <w:p w:rsidR="009E4BA4" w:rsidRPr="006E20C2" w:rsidRDefault="009E4BA4" w:rsidP="00BA5589">
            <w:pPr>
              <w:spacing w:after="0" w:line="240" w:lineRule="auto"/>
              <w:rPr>
                <w:rFonts w:ascii="Arial" w:eastAsia="Times New Roman" w:hAnsi="Arial" w:cs="Arial"/>
                <w:color w:val="000000"/>
                <w:sz w:val="24"/>
                <w:szCs w:val="24"/>
              </w:rPr>
            </w:pPr>
            <w:r w:rsidRPr="006E20C2">
              <w:rPr>
                <w:rFonts w:ascii="Arial" w:eastAsia="Times New Roman" w:hAnsi="Arial" w:cs="Arial"/>
                <w:color w:val="000000"/>
                <w:sz w:val="24"/>
                <w:szCs w:val="24"/>
              </w:rPr>
              <w:t>Total</w:t>
            </w:r>
          </w:p>
        </w:tc>
        <w:tc>
          <w:tcPr>
            <w:tcW w:w="268" w:type="dxa"/>
            <w:tcBorders>
              <w:top w:val="single" w:sz="4" w:space="0" w:color="auto"/>
            </w:tcBorders>
          </w:tcPr>
          <w:p w:rsidR="009E4BA4" w:rsidRPr="006E20C2" w:rsidRDefault="009E4BA4" w:rsidP="00BA5589">
            <w:pPr>
              <w:spacing w:after="0" w:line="240" w:lineRule="auto"/>
              <w:jc w:val="right"/>
              <w:rPr>
                <w:rFonts w:ascii="Arial" w:eastAsia="Times New Roman" w:hAnsi="Arial" w:cs="Arial"/>
                <w:color w:val="000000"/>
                <w:sz w:val="24"/>
                <w:szCs w:val="24"/>
              </w:rPr>
            </w:pPr>
          </w:p>
        </w:tc>
        <w:tc>
          <w:tcPr>
            <w:tcW w:w="5762" w:type="dxa"/>
            <w:tcBorders>
              <w:top w:val="single" w:sz="4" w:space="0" w:color="auto"/>
            </w:tcBorders>
          </w:tcPr>
          <w:p w:rsidR="009E4BA4" w:rsidRPr="006E20C2" w:rsidRDefault="009E4BA4" w:rsidP="00BA5589">
            <w:pPr>
              <w:spacing w:after="0" w:line="240" w:lineRule="auto"/>
              <w:rPr>
                <w:rFonts w:ascii="Arial" w:eastAsia="Times New Roman" w:hAnsi="Arial" w:cs="Arial"/>
                <w:color w:val="000000"/>
                <w:sz w:val="24"/>
                <w:szCs w:val="24"/>
              </w:rPr>
            </w:pPr>
          </w:p>
        </w:tc>
        <w:tc>
          <w:tcPr>
            <w:tcW w:w="1260" w:type="dxa"/>
            <w:tcBorders>
              <w:top w:val="single" w:sz="4" w:space="0" w:color="auto"/>
            </w:tcBorders>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189</w:t>
            </w:r>
          </w:p>
        </w:tc>
        <w:tc>
          <w:tcPr>
            <w:tcW w:w="1530" w:type="dxa"/>
            <w:tcBorders>
              <w:top w:val="single" w:sz="4" w:space="0" w:color="auto"/>
            </w:tcBorders>
            <w:shd w:val="clear" w:color="auto" w:fill="auto"/>
            <w:noWrap/>
            <w:vAlign w:val="bottom"/>
            <w:hideMark/>
          </w:tcPr>
          <w:p w:rsidR="009E4BA4" w:rsidRPr="006E20C2" w:rsidRDefault="009E4BA4" w:rsidP="00BA5589">
            <w:pPr>
              <w:spacing w:after="0" w:line="240" w:lineRule="auto"/>
              <w:jc w:val="right"/>
              <w:rPr>
                <w:rFonts w:ascii="Arial" w:eastAsia="Times New Roman" w:hAnsi="Arial" w:cs="Arial"/>
                <w:color w:val="000000"/>
                <w:sz w:val="24"/>
                <w:szCs w:val="24"/>
              </w:rPr>
            </w:pPr>
            <w:r w:rsidRPr="006E20C2">
              <w:rPr>
                <w:rFonts w:ascii="Arial" w:eastAsia="Times New Roman" w:hAnsi="Arial" w:cs="Arial"/>
                <w:color w:val="000000"/>
                <w:sz w:val="24"/>
                <w:szCs w:val="24"/>
              </w:rPr>
              <w:t>100.00%</w:t>
            </w:r>
          </w:p>
        </w:tc>
      </w:tr>
    </w:tbl>
    <w:p w:rsidR="00BB1353" w:rsidRDefault="00BB1353" w:rsidP="009E4BA4">
      <w:pPr>
        <w:spacing w:after="0" w:line="240" w:lineRule="auto"/>
        <w:rPr>
          <w:rFonts w:ascii="Arial" w:hAnsi="Arial" w:cs="Arial"/>
          <w:sz w:val="24"/>
          <w:szCs w:val="24"/>
        </w:rPr>
      </w:pPr>
    </w:p>
    <w:p w:rsidR="00FF7002" w:rsidRDefault="00FF7002">
      <w:pPr>
        <w:rPr>
          <w:rFonts w:ascii="Arial" w:hAnsi="Arial" w:cs="Arial"/>
          <w:sz w:val="24"/>
          <w:szCs w:val="24"/>
        </w:rPr>
      </w:pPr>
      <w:r>
        <w:rPr>
          <w:rFonts w:ascii="Arial" w:hAnsi="Arial" w:cs="Arial"/>
          <w:sz w:val="24"/>
          <w:szCs w:val="24"/>
        </w:rPr>
        <w:br w:type="page"/>
      </w:r>
    </w:p>
    <w:p w:rsidR="00FF7002" w:rsidRDefault="00FF7002" w:rsidP="00FF7002">
      <w:pPr>
        <w:rPr>
          <w:rFonts w:ascii="Arial" w:hAnsi="Arial" w:cs="Arial"/>
          <w:b/>
          <w:sz w:val="28"/>
          <w:szCs w:val="28"/>
        </w:rPr>
      </w:pPr>
      <w:r>
        <w:rPr>
          <w:rFonts w:ascii="Arial" w:hAnsi="Arial" w:cs="Arial"/>
          <w:b/>
          <w:sz w:val="28"/>
          <w:szCs w:val="28"/>
        </w:rPr>
        <w:lastRenderedPageBreak/>
        <w:t>Appendix 5:  Results of the fall 2015 review of syllabi for courses meeting Westmont’s Quantitative and Analytical Reasoning (QAR) GE requirement.</w:t>
      </w:r>
    </w:p>
    <w:p w:rsidR="006E6DC1" w:rsidRPr="005043A3" w:rsidRDefault="00FF7002" w:rsidP="005043A3">
      <w:pPr>
        <w:jc w:val="center"/>
        <w:rPr>
          <w:rFonts w:ascii="Arial" w:hAnsi="Arial" w:cs="Arial"/>
          <w:b/>
          <w:sz w:val="28"/>
          <w:szCs w:val="28"/>
        </w:rPr>
      </w:pPr>
      <w:r>
        <w:rPr>
          <w:rFonts w:ascii="Arial" w:hAnsi="Arial" w:cs="Arial"/>
          <w:b/>
          <w:noProof/>
          <w:sz w:val="28"/>
          <w:szCs w:val="28"/>
        </w:rPr>
        <w:drawing>
          <wp:inline distT="0" distB="0" distL="0" distR="0" wp14:anchorId="41F1E399" wp14:editId="77B52AA3">
            <wp:extent cx="6235689" cy="814686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5866" cy="8147097"/>
                    </a:xfrm>
                    <a:prstGeom prst="rect">
                      <a:avLst/>
                    </a:prstGeom>
                    <a:noFill/>
                    <a:ln>
                      <a:noFill/>
                    </a:ln>
                  </pic:spPr>
                </pic:pic>
              </a:graphicData>
            </a:graphic>
          </wp:inline>
        </w:drawing>
      </w:r>
    </w:p>
    <w:p w:rsidR="000F31D9" w:rsidRPr="00FF7002" w:rsidRDefault="006E6DC1" w:rsidP="000F31D9">
      <w:pPr>
        <w:rPr>
          <w:rFonts w:ascii="Arial" w:hAnsi="Arial" w:cs="Arial"/>
          <w:b/>
          <w:sz w:val="28"/>
          <w:szCs w:val="28"/>
        </w:rPr>
      </w:pPr>
      <w:r>
        <w:br w:type="page"/>
      </w:r>
      <w:r w:rsidR="000F31D9" w:rsidRPr="0049399C">
        <w:rPr>
          <w:rFonts w:ascii="Arial" w:hAnsi="Arial" w:cs="Arial"/>
          <w:b/>
          <w:sz w:val="28"/>
        </w:rPr>
        <w:lastRenderedPageBreak/>
        <w:t xml:space="preserve">Appendix </w:t>
      </w:r>
      <w:r w:rsidR="000F31D9">
        <w:rPr>
          <w:rFonts w:ascii="Arial" w:hAnsi="Arial" w:cs="Arial"/>
          <w:b/>
          <w:sz w:val="28"/>
        </w:rPr>
        <w:t>6</w:t>
      </w:r>
      <w:r w:rsidR="000F31D9" w:rsidRPr="0049399C">
        <w:rPr>
          <w:rFonts w:ascii="Arial" w:hAnsi="Arial" w:cs="Arial"/>
          <w:b/>
          <w:sz w:val="28"/>
        </w:rPr>
        <w:t>:  2014 Westmont NSSE Survey Statistical Comparisons Results</w:t>
      </w:r>
    </w:p>
    <w:p w:rsidR="000F31D9" w:rsidRDefault="000F31D9" w:rsidP="000F31D9">
      <w:r>
        <w:rPr>
          <w:noProof/>
        </w:rPr>
        <w:drawing>
          <wp:inline distT="0" distB="0" distL="0" distR="0" wp14:anchorId="4C8CFECC" wp14:editId="5817B2B2">
            <wp:extent cx="6860612" cy="306015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869658" cy="3064191"/>
                    </a:xfrm>
                    <a:prstGeom prst="rect">
                      <a:avLst/>
                    </a:prstGeom>
                  </pic:spPr>
                </pic:pic>
              </a:graphicData>
            </a:graphic>
          </wp:inline>
        </w:drawing>
      </w:r>
    </w:p>
    <w:p w:rsidR="000F31D9" w:rsidRDefault="000F31D9" w:rsidP="000F31D9">
      <w:r>
        <w:rPr>
          <w:noProof/>
        </w:rPr>
        <w:drawing>
          <wp:inline distT="0" distB="0" distL="0" distR="0" wp14:anchorId="202F47A8" wp14:editId="50DCCE93">
            <wp:extent cx="6858000" cy="2495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858000" cy="2495550"/>
                    </a:xfrm>
                    <a:prstGeom prst="rect">
                      <a:avLst/>
                    </a:prstGeom>
                  </pic:spPr>
                </pic:pic>
              </a:graphicData>
            </a:graphic>
          </wp:inline>
        </w:drawing>
      </w:r>
    </w:p>
    <w:p w:rsidR="000F31D9" w:rsidRDefault="000F31D9" w:rsidP="000F31D9">
      <w:r>
        <w:rPr>
          <w:noProof/>
        </w:rPr>
        <w:drawing>
          <wp:inline distT="0" distB="0" distL="0" distR="0" wp14:anchorId="41EDAF60" wp14:editId="566DC4C6">
            <wp:extent cx="6905625" cy="15685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917015" cy="1571108"/>
                    </a:xfrm>
                    <a:prstGeom prst="rect">
                      <a:avLst/>
                    </a:prstGeom>
                  </pic:spPr>
                </pic:pic>
              </a:graphicData>
            </a:graphic>
          </wp:inline>
        </w:drawing>
      </w:r>
    </w:p>
    <w:p w:rsidR="000F31D9" w:rsidRDefault="000F31D9" w:rsidP="000F31D9">
      <w:pPr>
        <w:tabs>
          <w:tab w:val="left" w:pos="180"/>
          <w:tab w:val="left" w:pos="630"/>
        </w:tabs>
        <w:spacing w:after="0" w:line="240" w:lineRule="auto"/>
        <w:rPr>
          <w:sz w:val="24"/>
        </w:rPr>
      </w:pPr>
    </w:p>
    <w:p w:rsidR="000F31D9" w:rsidRDefault="000F31D9" w:rsidP="000F31D9">
      <w:pPr>
        <w:tabs>
          <w:tab w:val="left" w:pos="180"/>
          <w:tab w:val="left" w:pos="630"/>
        </w:tabs>
        <w:spacing w:after="0" w:line="240" w:lineRule="auto"/>
        <w:rPr>
          <w:sz w:val="24"/>
        </w:rPr>
      </w:pPr>
    </w:p>
    <w:p w:rsidR="000F31D9" w:rsidRDefault="000F31D9" w:rsidP="000F31D9">
      <w:pPr>
        <w:tabs>
          <w:tab w:val="left" w:pos="180"/>
          <w:tab w:val="left" w:pos="630"/>
        </w:tabs>
        <w:spacing w:after="0" w:line="240" w:lineRule="auto"/>
        <w:rPr>
          <w:sz w:val="24"/>
        </w:rPr>
      </w:pPr>
    </w:p>
    <w:p w:rsidR="000F31D9" w:rsidRDefault="000F31D9" w:rsidP="000F31D9"/>
    <w:p w:rsidR="00942719" w:rsidRPr="00544A0D" w:rsidRDefault="000F31D9" w:rsidP="002A1EE7">
      <w:r>
        <w:rPr>
          <w:rFonts w:ascii="Arial" w:hAnsi="Arial" w:cs="Arial"/>
          <w:b/>
          <w:sz w:val="28"/>
          <w:szCs w:val="28"/>
        </w:rPr>
        <w:lastRenderedPageBreak/>
        <w:t>Appendix 7</w:t>
      </w:r>
      <w:r w:rsidR="005043A3">
        <w:rPr>
          <w:rFonts w:ascii="Arial" w:hAnsi="Arial" w:cs="Arial"/>
          <w:b/>
          <w:sz w:val="28"/>
          <w:szCs w:val="28"/>
        </w:rPr>
        <w:t xml:space="preserve">:  Senior and Incoming Student </w:t>
      </w:r>
      <w:r w:rsidR="006E6DC1" w:rsidRPr="0049399C">
        <w:rPr>
          <w:rFonts w:ascii="Arial" w:hAnsi="Arial" w:cs="Arial"/>
          <w:b/>
          <w:sz w:val="28"/>
          <w:szCs w:val="28"/>
        </w:rPr>
        <w:t xml:space="preserve">QLRA Assessment </w:t>
      </w:r>
      <w:r w:rsidR="005043A3">
        <w:rPr>
          <w:rFonts w:ascii="Arial" w:hAnsi="Arial" w:cs="Arial"/>
          <w:b/>
          <w:sz w:val="28"/>
          <w:szCs w:val="28"/>
        </w:rPr>
        <w:t>Comparisons</w:t>
      </w:r>
    </w:p>
    <w:p w:rsidR="00D53485" w:rsidRDefault="00F35A1D" w:rsidP="00D53485">
      <w:pPr>
        <w:jc w:val="center"/>
        <w:rPr>
          <w:b/>
          <w:sz w:val="24"/>
        </w:rPr>
      </w:pPr>
      <w:r>
        <w:rPr>
          <w:noProof/>
        </w:rPr>
        <w:drawing>
          <wp:inline distT="0" distB="0" distL="0" distR="0" wp14:anchorId="32DBA3C3" wp14:editId="2F263945">
            <wp:extent cx="6678202" cy="3339101"/>
            <wp:effectExtent l="0" t="0" r="889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A1EE7" w:rsidRPr="00D53485" w:rsidRDefault="000F31D9" w:rsidP="00D53485">
      <w:pPr>
        <w:rPr>
          <w:b/>
          <w:sz w:val="24"/>
        </w:rPr>
      </w:pPr>
      <w:r>
        <w:rPr>
          <w:b/>
          <w:sz w:val="24"/>
        </w:rPr>
        <w:t>Figure A7</w:t>
      </w:r>
      <w:r w:rsidR="00B64525" w:rsidRPr="00B64525">
        <w:rPr>
          <w:b/>
          <w:sz w:val="24"/>
        </w:rPr>
        <w:t>-1.</w:t>
      </w:r>
      <w:r w:rsidR="00B64525">
        <w:rPr>
          <w:sz w:val="24"/>
        </w:rPr>
        <w:t xml:space="preserve">   Distribution of Quantitative Literacy and Reasoning Assessment (QLRA) scores for </w:t>
      </w:r>
      <w:r w:rsidR="002A1EE7">
        <w:rPr>
          <w:sz w:val="24"/>
        </w:rPr>
        <w:t>seniors and incoming students.</w:t>
      </w:r>
    </w:p>
    <w:p w:rsidR="00544A0D" w:rsidRDefault="00544A0D" w:rsidP="002A1EE7">
      <w:pPr>
        <w:rPr>
          <w:b/>
          <w:sz w:val="24"/>
        </w:rPr>
      </w:pPr>
      <w:r>
        <w:rPr>
          <w:noProof/>
        </w:rPr>
        <w:drawing>
          <wp:inline distT="0" distB="0" distL="0" distR="0" wp14:anchorId="3F337787" wp14:editId="43E79FDF">
            <wp:extent cx="6760396" cy="4109662"/>
            <wp:effectExtent l="0" t="0" r="2540" b="57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043A3" w:rsidRPr="00CB45EE" w:rsidRDefault="000F31D9" w:rsidP="002A1EE7">
      <w:pPr>
        <w:rPr>
          <w:b/>
          <w:sz w:val="24"/>
        </w:rPr>
      </w:pPr>
      <w:r>
        <w:rPr>
          <w:b/>
          <w:sz w:val="24"/>
        </w:rPr>
        <w:t>Figure A7</w:t>
      </w:r>
      <w:r w:rsidR="005043A3">
        <w:rPr>
          <w:b/>
          <w:sz w:val="24"/>
        </w:rPr>
        <w:t>-2</w:t>
      </w:r>
      <w:r w:rsidR="005043A3" w:rsidRPr="00B64525">
        <w:rPr>
          <w:b/>
          <w:sz w:val="24"/>
        </w:rPr>
        <w:t>.</w:t>
      </w:r>
      <w:r w:rsidR="005043A3">
        <w:rPr>
          <w:sz w:val="24"/>
        </w:rPr>
        <w:t xml:space="preserve">   </w:t>
      </w:r>
      <w:r w:rsidR="002A1EE7">
        <w:rPr>
          <w:sz w:val="24"/>
        </w:rPr>
        <w:t>Skills exhibited by</w:t>
      </w:r>
      <w:r w:rsidR="005043A3">
        <w:rPr>
          <w:sz w:val="24"/>
        </w:rPr>
        <w:t xml:space="preserve"> Westmont seniors and incoming students</w:t>
      </w:r>
      <w:r w:rsidR="002A1EE7">
        <w:rPr>
          <w:sz w:val="24"/>
        </w:rPr>
        <w:t xml:space="preserve"> as assessed by the QLRA test</w:t>
      </w:r>
      <w:r w:rsidR="005043A3">
        <w:rPr>
          <w:sz w:val="24"/>
        </w:rPr>
        <w:t>.</w:t>
      </w:r>
    </w:p>
    <w:p w:rsidR="002A1EE7" w:rsidRDefault="002A1EE7" w:rsidP="007D08A0">
      <w:pPr>
        <w:tabs>
          <w:tab w:val="left" w:pos="180"/>
          <w:tab w:val="left" w:pos="630"/>
        </w:tabs>
        <w:spacing w:after="0" w:line="240" w:lineRule="auto"/>
        <w:rPr>
          <w:sz w:val="24"/>
        </w:rPr>
      </w:pPr>
    </w:p>
    <w:p w:rsidR="002A1EE7" w:rsidRDefault="002A1EE7" w:rsidP="007D08A0">
      <w:pPr>
        <w:tabs>
          <w:tab w:val="left" w:pos="180"/>
          <w:tab w:val="left" w:pos="630"/>
        </w:tabs>
        <w:spacing w:after="0" w:line="240" w:lineRule="auto"/>
        <w:rPr>
          <w:sz w:val="24"/>
        </w:rPr>
      </w:pPr>
    </w:p>
    <w:p w:rsidR="005043A3" w:rsidRPr="00F364FF" w:rsidRDefault="000F31D9">
      <w:pPr>
        <w:rPr>
          <w:sz w:val="24"/>
        </w:rPr>
      </w:pPr>
      <w:r w:rsidRPr="00F364FF">
        <w:rPr>
          <w:rFonts w:ascii="Arial" w:hAnsi="Arial" w:cs="Arial"/>
          <w:b/>
          <w:sz w:val="28"/>
          <w:szCs w:val="28"/>
        </w:rPr>
        <w:t>Appendix 8</w:t>
      </w:r>
      <w:r w:rsidR="00CB45EE" w:rsidRPr="00F364FF">
        <w:rPr>
          <w:rFonts w:ascii="Arial" w:hAnsi="Arial" w:cs="Arial"/>
          <w:b/>
          <w:sz w:val="28"/>
          <w:szCs w:val="28"/>
        </w:rPr>
        <w:t>:  Pre- and Post-QAR GE Course QLRA Assessment Comparisons</w:t>
      </w:r>
    </w:p>
    <w:p w:rsidR="001704C2" w:rsidRPr="00F364FF" w:rsidRDefault="001704C2" w:rsidP="001704C2">
      <w:pPr>
        <w:tabs>
          <w:tab w:val="left" w:pos="180"/>
          <w:tab w:val="left" w:pos="630"/>
        </w:tabs>
        <w:spacing w:after="0"/>
        <w:jc w:val="both"/>
        <w:rPr>
          <w:sz w:val="24"/>
        </w:rPr>
      </w:pPr>
      <w:r w:rsidRPr="00F364FF">
        <w:rPr>
          <w:sz w:val="24"/>
        </w:rPr>
        <w:t>QAR pre-/post course comparison data are still being compiled and will be added to Appendix 8 when it is available.</w:t>
      </w:r>
    </w:p>
    <w:p w:rsidR="00CB45EE" w:rsidRDefault="00CB45EE">
      <w:pPr>
        <w:rPr>
          <w:rFonts w:ascii="Arial" w:hAnsi="Arial" w:cs="Arial"/>
          <w:b/>
          <w:sz w:val="28"/>
        </w:rPr>
      </w:pPr>
    </w:p>
    <w:p w:rsidR="001704C2" w:rsidRDefault="001704C2">
      <w:pPr>
        <w:rPr>
          <w:rFonts w:ascii="Arial" w:hAnsi="Arial" w:cs="Arial"/>
          <w:b/>
          <w:sz w:val="28"/>
        </w:rPr>
      </w:pPr>
      <w:r>
        <w:rPr>
          <w:rFonts w:ascii="Arial" w:hAnsi="Arial" w:cs="Arial"/>
          <w:b/>
          <w:sz w:val="28"/>
        </w:rPr>
        <w:br w:type="page"/>
      </w:r>
    </w:p>
    <w:p w:rsidR="009E4BA4" w:rsidRDefault="009004FC" w:rsidP="006E6DC1">
      <w:pPr>
        <w:rPr>
          <w:rFonts w:ascii="Arial" w:hAnsi="Arial" w:cs="Arial"/>
          <w:b/>
          <w:sz w:val="28"/>
        </w:rPr>
      </w:pPr>
      <w:r w:rsidRPr="0049399C">
        <w:rPr>
          <w:rFonts w:ascii="Arial" w:hAnsi="Arial" w:cs="Arial"/>
          <w:b/>
          <w:sz w:val="28"/>
        </w:rPr>
        <w:lastRenderedPageBreak/>
        <w:t xml:space="preserve">Appendix </w:t>
      </w:r>
      <w:r>
        <w:rPr>
          <w:rFonts w:ascii="Arial" w:hAnsi="Arial" w:cs="Arial"/>
          <w:b/>
          <w:sz w:val="28"/>
        </w:rPr>
        <w:t>9</w:t>
      </w:r>
      <w:r w:rsidRPr="0049399C">
        <w:rPr>
          <w:rFonts w:ascii="Arial" w:hAnsi="Arial" w:cs="Arial"/>
          <w:b/>
          <w:sz w:val="28"/>
        </w:rPr>
        <w:t xml:space="preserve">:  Westmont </w:t>
      </w:r>
      <w:r>
        <w:rPr>
          <w:rFonts w:ascii="Arial" w:hAnsi="Arial" w:cs="Arial"/>
          <w:b/>
          <w:sz w:val="28"/>
        </w:rPr>
        <w:t>Student perspectives on the importance of quantitative reasoning as assessed by the QLRA supplemental questions.</w:t>
      </w:r>
    </w:p>
    <w:p w:rsidR="00592DD5" w:rsidRDefault="00592DD5" w:rsidP="006E6DC1">
      <w:pPr>
        <w:rPr>
          <w:rFonts w:ascii="Arial" w:hAnsi="Arial" w:cs="Arial"/>
          <w:b/>
          <w:sz w:val="28"/>
        </w:rPr>
      </w:pPr>
      <w:r>
        <w:rPr>
          <w:rFonts w:ascii="Arial" w:hAnsi="Arial" w:cs="Arial"/>
          <w:b/>
          <w:noProof/>
          <w:sz w:val="28"/>
        </w:rPr>
        <w:drawing>
          <wp:inline distT="0" distB="0" distL="0" distR="0" wp14:anchorId="3B800345">
            <wp:extent cx="6780944" cy="347504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81773" cy="3475470"/>
                    </a:xfrm>
                    <a:prstGeom prst="rect">
                      <a:avLst/>
                    </a:prstGeom>
                    <a:noFill/>
                  </pic:spPr>
                </pic:pic>
              </a:graphicData>
            </a:graphic>
          </wp:inline>
        </w:drawing>
      </w:r>
    </w:p>
    <w:p w:rsidR="009004FC" w:rsidRPr="009004FC" w:rsidRDefault="009004FC" w:rsidP="006E6DC1">
      <w:pPr>
        <w:rPr>
          <w:rFonts w:ascii="Arial" w:hAnsi="Arial" w:cs="Arial"/>
          <w:sz w:val="24"/>
          <w:szCs w:val="28"/>
        </w:rPr>
      </w:pPr>
      <w:r w:rsidRPr="009004FC">
        <w:rPr>
          <w:rFonts w:ascii="Arial" w:hAnsi="Arial" w:cs="Arial"/>
          <w:b/>
          <w:sz w:val="24"/>
        </w:rPr>
        <w:t>Figure A9-1.</w:t>
      </w:r>
      <w:r>
        <w:rPr>
          <w:rFonts w:ascii="Arial" w:hAnsi="Arial" w:cs="Arial"/>
          <w:b/>
          <w:sz w:val="24"/>
        </w:rPr>
        <w:t xml:space="preserve">  </w:t>
      </w:r>
      <w:proofErr w:type="gramStart"/>
      <w:r w:rsidR="00592DD5">
        <w:rPr>
          <w:rFonts w:ascii="Arial" w:hAnsi="Arial" w:cs="Arial"/>
          <w:sz w:val="24"/>
        </w:rPr>
        <w:t xml:space="preserve">Responses to select </w:t>
      </w:r>
      <w:r>
        <w:rPr>
          <w:rFonts w:ascii="Arial" w:hAnsi="Arial" w:cs="Arial"/>
          <w:sz w:val="24"/>
        </w:rPr>
        <w:t>QLRA supplemental questions</w:t>
      </w:r>
      <w:r w:rsidR="00592DD5">
        <w:rPr>
          <w:rFonts w:ascii="Arial" w:hAnsi="Arial" w:cs="Arial"/>
          <w:sz w:val="24"/>
        </w:rPr>
        <w:t>.</w:t>
      </w:r>
      <w:proofErr w:type="gramEnd"/>
    </w:p>
    <w:sectPr w:rsidR="009004FC" w:rsidRPr="009004FC" w:rsidSect="002A1EE7">
      <w:pgSz w:w="12240" w:h="15840"/>
      <w:pgMar w:top="720" w:right="720" w:bottom="821"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6F7" w:rsidRDefault="005B06F7" w:rsidP="00AB1D58">
      <w:pPr>
        <w:spacing w:after="0" w:line="240" w:lineRule="auto"/>
      </w:pPr>
      <w:r>
        <w:separator/>
      </w:r>
    </w:p>
  </w:endnote>
  <w:endnote w:type="continuationSeparator" w:id="0">
    <w:p w:rsidR="005B06F7" w:rsidRDefault="005B06F7" w:rsidP="00AB1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EFF" w:rsidRDefault="008F2E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6F7" w:rsidRDefault="005B06F7" w:rsidP="00AB1D58">
      <w:pPr>
        <w:spacing w:after="0" w:line="240" w:lineRule="auto"/>
      </w:pPr>
      <w:r>
        <w:separator/>
      </w:r>
    </w:p>
  </w:footnote>
  <w:footnote w:type="continuationSeparator" w:id="0">
    <w:p w:rsidR="005B06F7" w:rsidRDefault="005B06F7" w:rsidP="00AB1D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7F32"/>
    <w:multiLevelType w:val="hybridMultilevel"/>
    <w:tmpl w:val="4E769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95B19"/>
    <w:multiLevelType w:val="hybridMultilevel"/>
    <w:tmpl w:val="11403DF0"/>
    <w:lvl w:ilvl="0" w:tplc="20A0F00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5704101"/>
    <w:multiLevelType w:val="hybridMultilevel"/>
    <w:tmpl w:val="F88E0C98"/>
    <w:lvl w:ilvl="0" w:tplc="C928865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151461CE"/>
    <w:multiLevelType w:val="hybridMultilevel"/>
    <w:tmpl w:val="185CC8F8"/>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E2149E34">
      <w:start w:val="2014"/>
      <w:numFmt w:val="bullet"/>
      <w:lvlText w:val="-"/>
      <w:lvlJc w:val="left"/>
      <w:pPr>
        <w:ind w:left="6480" w:hanging="360"/>
      </w:pPr>
      <w:rPr>
        <w:rFonts w:ascii="Calibri" w:eastAsiaTheme="minorHAnsi" w:hAnsi="Calibri" w:cstheme="minorBidi" w:hint="default"/>
      </w:rPr>
    </w:lvl>
    <w:lvl w:ilvl="5" w:tplc="04090005">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nsid w:val="1AAC65C6"/>
    <w:multiLevelType w:val="hybridMultilevel"/>
    <w:tmpl w:val="46F6A308"/>
    <w:lvl w:ilvl="0" w:tplc="20A0F008">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23A067A4"/>
    <w:multiLevelType w:val="hybridMultilevel"/>
    <w:tmpl w:val="11403DF0"/>
    <w:lvl w:ilvl="0" w:tplc="20A0F008">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23EE2761"/>
    <w:multiLevelType w:val="hybridMultilevel"/>
    <w:tmpl w:val="C54C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077335"/>
    <w:multiLevelType w:val="hybridMultilevel"/>
    <w:tmpl w:val="18409BF0"/>
    <w:lvl w:ilvl="0" w:tplc="20A0F00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282A0ECD"/>
    <w:multiLevelType w:val="hybridMultilevel"/>
    <w:tmpl w:val="18409BF0"/>
    <w:lvl w:ilvl="0" w:tplc="20A0F00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2B05082C"/>
    <w:multiLevelType w:val="hybridMultilevel"/>
    <w:tmpl w:val="7D023C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37CF3277"/>
    <w:multiLevelType w:val="hybridMultilevel"/>
    <w:tmpl w:val="71347A0A"/>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nsid w:val="4DA21704"/>
    <w:multiLevelType w:val="hybridMultilevel"/>
    <w:tmpl w:val="46F6A308"/>
    <w:lvl w:ilvl="0" w:tplc="20A0F00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nsid w:val="4DA73CB5"/>
    <w:multiLevelType w:val="hybridMultilevel"/>
    <w:tmpl w:val="46F6A308"/>
    <w:lvl w:ilvl="0" w:tplc="20A0F00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50A21B73"/>
    <w:multiLevelType w:val="hybridMultilevel"/>
    <w:tmpl w:val="9BC8DD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7D213127"/>
    <w:multiLevelType w:val="hybridMultilevel"/>
    <w:tmpl w:val="FB78F6B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FA064E"/>
    <w:multiLevelType w:val="hybridMultilevel"/>
    <w:tmpl w:val="1D78D734"/>
    <w:lvl w:ilvl="0" w:tplc="20A0F008">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6"/>
  </w:num>
  <w:num w:numId="4">
    <w:abstractNumId w:val="0"/>
  </w:num>
  <w:num w:numId="5">
    <w:abstractNumId w:val="3"/>
  </w:num>
  <w:num w:numId="6">
    <w:abstractNumId w:val="2"/>
  </w:num>
  <w:num w:numId="7">
    <w:abstractNumId w:val="5"/>
  </w:num>
  <w:num w:numId="8">
    <w:abstractNumId w:val="12"/>
  </w:num>
  <w:num w:numId="9">
    <w:abstractNumId w:val="9"/>
  </w:num>
  <w:num w:numId="10">
    <w:abstractNumId w:val="1"/>
  </w:num>
  <w:num w:numId="11">
    <w:abstractNumId w:val="4"/>
  </w:num>
  <w:num w:numId="12">
    <w:abstractNumId w:val="11"/>
  </w:num>
  <w:num w:numId="13">
    <w:abstractNumId w:val="14"/>
  </w:num>
  <w:num w:numId="14">
    <w:abstractNumId w:val="7"/>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31A"/>
    <w:rsid w:val="000126F3"/>
    <w:rsid w:val="00023541"/>
    <w:rsid w:val="000B3520"/>
    <w:rsid w:val="000F31D9"/>
    <w:rsid w:val="0012285F"/>
    <w:rsid w:val="001704C2"/>
    <w:rsid w:val="00174EF7"/>
    <w:rsid w:val="00185ECA"/>
    <w:rsid w:val="001B5555"/>
    <w:rsid w:val="00220FCC"/>
    <w:rsid w:val="00290CFE"/>
    <w:rsid w:val="002A1EE7"/>
    <w:rsid w:val="00301205"/>
    <w:rsid w:val="0030749C"/>
    <w:rsid w:val="003155FC"/>
    <w:rsid w:val="00317290"/>
    <w:rsid w:val="00325EF5"/>
    <w:rsid w:val="00334E7F"/>
    <w:rsid w:val="00344028"/>
    <w:rsid w:val="0036634A"/>
    <w:rsid w:val="00396AF4"/>
    <w:rsid w:val="003F1C26"/>
    <w:rsid w:val="00462FDA"/>
    <w:rsid w:val="0049399C"/>
    <w:rsid w:val="004D4049"/>
    <w:rsid w:val="005043A3"/>
    <w:rsid w:val="00544A0D"/>
    <w:rsid w:val="00567181"/>
    <w:rsid w:val="00592DD5"/>
    <w:rsid w:val="005B06F7"/>
    <w:rsid w:val="005F3912"/>
    <w:rsid w:val="00620E6D"/>
    <w:rsid w:val="00626577"/>
    <w:rsid w:val="006905DA"/>
    <w:rsid w:val="006B70DB"/>
    <w:rsid w:val="006C542F"/>
    <w:rsid w:val="006E20C2"/>
    <w:rsid w:val="006E6DC1"/>
    <w:rsid w:val="007D08A0"/>
    <w:rsid w:val="008729A7"/>
    <w:rsid w:val="00884F3D"/>
    <w:rsid w:val="00894147"/>
    <w:rsid w:val="008F2EFF"/>
    <w:rsid w:val="009004FC"/>
    <w:rsid w:val="00942719"/>
    <w:rsid w:val="00951426"/>
    <w:rsid w:val="0098088C"/>
    <w:rsid w:val="009A4BBE"/>
    <w:rsid w:val="009D33D4"/>
    <w:rsid w:val="009E4BA4"/>
    <w:rsid w:val="009E6DE2"/>
    <w:rsid w:val="009F66D0"/>
    <w:rsid w:val="00A166F4"/>
    <w:rsid w:val="00A17EEE"/>
    <w:rsid w:val="00A91373"/>
    <w:rsid w:val="00AA2247"/>
    <w:rsid w:val="00AB1D58"/>
    <w:rsid w:val="00B44BF7"/>
    <w:rsid w:val="00B64525"/>
    <w:rsid w:val="00B9455C"/>
    <w:rsid w:val="00BA5589"/>
    <w:rsid w:val="00BB1353"/>
    <w:rsid w:val="00BC26F9"/>
    <w:rsid w:val="00BC35CD"/>
    <w:rsid w:val="00C22844"/>
    <w:rsid w:val="00C65A12"/>
    <w:rsid w:val="00C816B2"/>
    <w:rsid w:val="00C9562C"/>
    <w:rsid w:val="00CB45EE"/>
    <w:rsid w:val="00CD27CF"/>
    <w:rsid w:val="00D00613"/>
    <w:rsid w:val="00D15032"/>
    <w:rsid w:val="00D369D8"/>
    <w:rsid w:val="00D53485"/>
    <w:rsid w:val="00E06112"/>
    <w:rsid w:val="00E14BB9"/>
    <w:rsid w:val="00E26963"/>
    <w:rsid w:val="00E27D76"/>
    <w:rsid w:val="00E90F17"/>
    <w:rsid w:val="00EB48BC"/>
    <w:rsid w:val="00EC4F2F"/>
    <w:rsid w:val="00EE031A"/>
    <w:rsid w:val="00F0627A"/>
    <w:rsid w:val="00F2595B"/>
    <w:rsid w:val="00F35A1D"/>
    <w:rsid w:val="00F364FF"/>
    <w:rsid w:val="00F81C53"/>
    <w:rsid w:val="00F93B97"/>
    <w:rsid w:val="00FA5BAB"/>
    <w:rsid w:val="00FE4F5E"/>
    <w:rsid w:val="00FF7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3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031A"/>
    <w:pPr>
      <w:ind w:left="720"/>
      <w:contextualSpacing/>
    </w:pPr>
  </w:style>
  <w:style w:type="table" w:styleId="TableGrid">
    <w:name w:val="Table Grid"/>
    <w:basedOn w:val="TableNormal"/>
    <w:uiPriority w:val="59"/>
    <w:rsid w:val="00396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E4BA4"/>
    <w:pPr>
      <w:autoSpaceDE w:val="0"/>
      <w:autoSpaceDN w:val="0"/>
      <w:adjustRightInd w:val="0"/>
      <w:spacing w:after="0" w:line="240" w:lineRule="auto"/>
    </w:pPr>
    <w:rPr>
      <w:rFonts w:ascii="Calibri" w:eastAsia="Times" w:hAnsi="Calibri" w:cs="Calibri"/>
      <w:color w:val="000000"/>
      <w:sz w:val="24"/>
      <w:szCs w:val="24"/>
    </w:rPr>
  </w:style>
  <w:style w:type="paragraph" w:styleId="NormalWeb">
    <w:name w:val="Normal (Web)"/>
    <w:basedOn w:val="Normal"/>
    <w:uiPriority w:val="99"/>
    <w:unhideWhenUsed/>
    <w:rsid w:val="009E4BA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E4BA4"/>
    <w:rPr>
      <w:color w:val="0000FF"/>
      <w:u w:val="single"/>
    </w:rPr>
  </w:style>
  <w:style w:type="paragraph" w:styleId="BalloonText">
    <w:name w:val="Balloon Text"/>
    <w:basedOn w:val="Normal"/>
    <w:link w:val="BalloonTextChar"/>
    <w:uiPriority w:val="99"/>
    <w:semiHidden/>
    <w:unhideWhenUsed/>
    <w:rsid w:val="00BB1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353"/>
    <w:rPr>
      <w:rFonts w:ascii="Tahoma" w:hAnsi="Tahoma" w:cs="Tahoma"/>
      <w:sz w:val="16"/>
      <w:szCs w:val="16"/>
    </w:rPr>
  </w:style>
  <w:style w:type="paragraph" w:styleId="Header">
    <w:name w:val="header"/>
    <w:basedOn w:val="Normal"/>
    <w:link w:val="HeaderChar"/>
    <w:uiPriority w:val="99"/>
    <w:unhideWhenUsed/>
    <w:rsid w:val="00AB1D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D58"/>
  </w:style>
  <w:style w:type="paragraph" w:styleId="Footer">
    <w:name w:val="footer"/>
    <w:basedOn w:val="Normal"/>
    <w:link w:val="FooterChar"/>
    <w:uiPriority w:val="99"/>
    <w:unhideWhenUsed/>
    <w:rsid w:val="00AB1D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D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3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031A"/>
    <w:pPr>
      <w:ind w:left="720"/>
      <w:contextualSpacing/>
    </w:pPr>
  </w:style>
  <w:style w:type="table" w:styleId="TableGrid">
    <w:name w:val="Table Grid"/>
    <w:basedOn w:val="TableNormal"/>
    <w:uiPriority w:val="59"/>
    <w:rsid w:val="00396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E4BA4"/>
    <w:pPr>
      <w:autoSpaceDE w:val="0"/>
      <w:autoSpaceDN w:val="0"/>
      <w:adjustRightInd w:val="0"/>
      <w:spacing w:after="0" w:line="240" w:lineRule="auto"/>
    </w:pPr>
    <w:rPr>
      <w:rFonts w:ascii="Calibri" w:eastAsia="Times" w:hAnsi="Calibri" w:cs="Calibri"/>
      <w:color w:val="000000"/>
      <w:sz w:val="24"/>
      <w:szCs w:val="24"/>
    </w:rPr>
  </w:style>
  <w:style w:type="paragraph" w:styleId="NormalWeb">
    <w:name w:val="Normal (Web)"/>
    <w:basedOn w:val="Normal"/>
    <w:uiPriority w:val="99"/>
    <w:unhideWhenUsed/>
    <w:rsid w:val="009E4BA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E4BA4"/>
    <w:rPr>
      <w:color w:val="0000FF"/>
      <w:u w:val="single"/>
    </w:rPr>
  </w:style>
  <w:style w:type="paragraph" w:styleId="BalloonText">
    <w:name w:val="Balloon Text"/>
    <w:basedOn w:val="Normal"/>
    <w:link w:val="BalloonTextChar"/>
    <w:uiPriority w:val="99"/>
    <w:semiHidden/>
    <w:unhideWhenUsed/>
    <w:rsid w:val="00BB1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353"/>
    <w:rPr>
      <w:rFonts w:ascii="Tahoma" w:hAnsi="Tahoma" w:cs="Tahoma"/>
      <w:sz w:val="16"/>
      <w:szCs w:val="16"/>
    </w:rPr>
  </w:style>
  <w:style w:type="paragraph" w:styleId="Header">
    <w:name w:val="header"/>
    <w:basedOn w:val="Normal"/>
    <w:link w:val="HeaderChar"/>
    <w:uiPriority w:val="99"/>
    <w:unhideWhenUsed/>
    <w:rsid w:val="00AB1D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D58"/>
  </w:style>
  <w:style w:type="paragraph" w:styleId="Footer">
    <w:name w:val="footer"/>
    <w:basedOn w:val="Normal"/>
    <w:link w:val="FooterChar"/>
    <w:uiPriority w:val="99"/>
    <w:unhideWhenUsed/>
    <w:rsid w:val="00AB1D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D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62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physics.westmont.edu" TargetMode="External"/><Relationship Id="rId18" Type="http://schemas.openxmlformats.org/officeDocument/2006/relationships/hyperlink" Target="http://www.westmont.edu/_academics/departments/physics/" TargetMode="External"/><Relationship Id="rId26" Type="http://schemas.openxmlformats.org/officeDocument/2006/relationships/hyperlink" Target="http://www.westmont.edu/_academics/departments/english/" TargetMode="External"/><Relationship Id="rId39"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hyperlink" Target="http://www.westmont.edu/admissions/academics.html" TargetMode="External"/><Relationship Id="rId34" Type="http://schemas.openxmlformats.org/officeDocument/2006/relationships/hyperlink" Target="http://www.westmont.edu/_academics/departments/spanish/" TargetMode="External"/><Relationship Id="rId42"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westmont.edu/_academics/departments/economics_business/" TargetMode="External"/><Relationship Id="rId17" Type="http://schemas.openxmlformats.org/officeDocument/2006/relationships/hyperlink" Target="http://www.westmont.edu/_academics/departments/music/" TargetMode="External"/><Relationship Id="rId25" Type="http://schemas.openxmlformats.org/officeDocument/2006/relationships/hyperlink" Target="http://www.westmont.edu/_academics/departments/communication_studies/" TargetMode="External"/><Relationship Id="rId33" Type="http://schemas.openxmlformats.org/officeDocument/2006/relationships/hyperlink" Target="http://www.westmont.edu/_academics/departments/religious_studies/" TargetMode="External"/><Relationship Id="rId38"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westmont.edu/_academics/departments/mathematics/" TargetMode="External"/><Relationship Id="rId20" Type="http://schemas.openxmlformats.org/officeDocument/2006/relationships/hyperlink" Target="http://www.westmont.edu/_academics/departments/psychology/" TargetMode="External"/><Relationship Id="rId29" Type="http://schemas.openxmlformats.org/officeDocument/2006/relationships/hyperlink" Target="http://www.westmont.edu/_academics/departments/history/" TargetMode="External"/><Relationship Id="rId41"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westmont.edu/_academics/departments/computer_science/" TargetMode="External"/><Relationship Id="rId24" Type="http://schemas.openxmlformats.org/officeDocument/2006/relationships/hyperlink" Target="http://www.westmont.edu/_academics/departments/art/" TargetMode="External"/><Relationship Id="rId32" Type="http://schemas.openxmlformats.org/officeDocument/2006/relationships/hyperlink" Target="http://www.westmont.edu/_academics/departments/philosophy/" TargetMode="External"/><Relationship Id="rId37" Type="http://schemas.openxmlformats.org/officeDocument/2006/relationships/image" Target="media/image2.png"/><Relationship Id="rId40"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www.westmont.edu/_academics/departments/education/" TargetMode="External"/><Relationship Id="rId23" Type="http://schemas.openxmlformats.org/officeDocument/2006/relationships/hyperlink" Target="http://www.westmont.edu/_academics/departments/art/" TargetMode="External"/><Relationship Id="rId28" Type="http://schemas.openxmlformats.org/officeDocument/2006/relationships/hyperlink" Target="http://www.westmont.edu/_academics/departments/modern_languages/french.html" TargetMode="External"/><Relationship Id="rId36" Type="http://schemas.openxmlformats.org/officeDocument/2006/relationships/image" Target="media/image1.emf"/><Relationship Id="rId10" Type="http://schemas.openxmlformats.org/officeDocument/2006/relationships/hyperlink" Target="http://www.westmont.edu/_academics/departments/chemistry/" TargetMode="External"/><Relationship Id="rId19" Type="http://schemas.openxmlformats.org/officeDocument/2006/relationships/hyperlink" Target="http://www.westmont.edu/_academics/departments/political_science/" TargetMode="External"/><Relationship Id="rId31" Type="http://schemas.openxmlformats.org/officeDocument/2006/relationships/hyperlink" Target="http://www.westmont.edu/_academics/departments/music/"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estmont.edu/_academics/departments/biology/" TargetMode="External"/><Relationship Id="rId14" Type="http://schemas.openxmlformats.org/officeDocument/2006/relationships/hyperlink" Target="http://www.westmont.edu/_academics/departments/kinesiology/" TargetMode="External"/><Relationship Id="rId22" Type="http://schemas.openxmlformats.org/officeDocument/2006/relationships/hyperlink" Target="http://www.westmont.edu/_academics/departments/sociology_anthropology/" TargetMode="External"/><Relationship Id="rId27" Type="http://schemas.openxmlformats.org/officeDocument/2006/relationships/hyperlink" Target="http://www.westmont.edu/_offices/registrar/documents/Catalog.pdf" TargetMode="External"/><Relationship Id="rId30" Type="http://schemas.openxmlformats.org/officeDocument/2006/relationships/hyperlink" Target="http://www.westmont.edu/_offices/registrar/academic_policies/interdisciplinary-majors-policy.html" TargetMode="External"/><Relationship Id="rId35" Type="http://schemas.openxmlformats.org/officeDocument/2006/relationships/hyperlink" Target="http://www.westmont.edu/_academics/departments/theatre_arts/"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contakes\Documents\College%20Service%20Work\Committee%20work\GE%20Committee%202014%20to%202017\QAR%20Results%20Combined%20Documen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contakes\Documents\College%20Service%20Work\Committee%20work\GE%20Committee%202014%20to%202017\QAR%20Results%20Combined%20Docu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baseline="0"/>
              <a:t>Incoming Student &amp; Senior QLRA Results Comparison</a:t>
            </a:r>
            <a:endParaRPr lang="en-US" sz="1600"/>
          </a:p>
        </c:rich>
      </c:tx>
      <c:layout>
        <c:manualLayout>
          <c:xMode val="edge"/>
          <c:yMode val="edge"/>
          <c:x val="0.15020435422431697"/>
          <c:y val="1.5183146707155058E-2"/>
        </c:manualLayout>
      </c:layout>
      <c:overlay val="0"/>
    </c:title>
    <c:autoTitleDeleted val="0"/>
    <c:plotArea>
      <c:layout>
        <c:manualLayout>
          <c:layoutTarget val="inner"/>
          <c:xMode val="edge"/>
          <c:yMode val="edge"/>
          <c:x val="0.13603371693922875"/>
          <c:y val="0.13821824394775384"/>
          <c:w val="0.82532433055489274"/>
          <c:h val="0.66925229275784115"/>
        </c:manualLayout>
      </c:layout>
      <c:lineChart>
        <c:grouping val="standard"/>
        <c:varyColors val="0"/>
        <c:ser>
          <c:idx val="1"/>
          <c:order val="0"/>
          <c:tx>
            <c:v>Incoming Students</c:v>
          </c:tx>
          <c:spPr>
            <a:ln w="101600" cap="flat">
              <a:solidFill>
                <a:srgbClr val="FF0000"/>
              </a:solidFill>
            </a:ln>
          </c:spPr>
          <c:marker>
            <c:symbol val="none"/>
          </c:marker>
          <c:cat>
            <c:strRef>
              <c:f>'Incoming only'!$AG$147:$AG$156</c:f>
              <c:strCache>
                <c:ptCount val="10"/>
                <c:pt idx="0">
                  <c:v>0-10%</c:v>
                </c:pt>
                <c:pt idx="1">
                  <c:v>11-20%</c:v>
                </c:pt>
                <c:pt idx="2">
                  <c:v>21-30%</c:v>
                </c:pt>
                <c:pt idx="3">
                  <c:v>31-40%</c:v>
                </c:pt>
                <c:pt idx="4">
                  <c:v>41-50%</c:v>
                </c:pt>
                <c:pt idx="5">
                  <c:v>51-60%</c:v>
                </c:pt>
                <c:pt idx="6">
                  <c:v>61-70%</c:v>
                </c:pt>
                <c:pt idx="7">
                  <c:v>71-80%</c:v>
                </c:pt>
                <c:pt idx="8">
                  <c:v>81-90%</c:v>
                </c:pt>
                <c:pt idx="9">
                  <c:v>90-100%</c:v>
                </c:pt>
              </c:strCache>
            </c:strRef>
          </c:cat>
          <c:val>
            <c:numRef>
              <c:f>'Incoming only'!$AH$147:$AH$156</c:f>
              <c:numCache>
                <c:formatCode>0%</c:formatCode>
                <c:ptCount val="10"/>
                <c:pt idx="0">
                  <c:v>8.0645161290322578E-3</c:v>
                </c:pt>
                <c:pt idx="1">
                  <c:v>4.0322580645161289E-2</c:v>
                </c:pt>
                <c:pt idx="2">
                  <c:v>0.14516129032258066</c:v>
                </c:pt>
                <c:pt idx="3">
                  <c:v>0.19354838709677419</c:v>
                </c:pt>
                <c:pt idx="4">
                  <c:v>0.15322580645161291</c:v>
                </c:pt>
                <c:pt idx="5">
                  <c:v>0.10483870967741934</c:v>
                </c:pt>
                <c:pt idx="6">
                  <c:v>0.12096774193548387</c:v>
                </c:pt>
                <c:pt idx="7">
                  <c:v>0.13709677419354838</c:v>
                </c:pt>
                <c:pt idx="8">
                  <c:v>8.0645161290322578E-2</c:v>
                </c:pt>
                <c:pt idx="9">
                  <c:v>1.6129032258064516E-2</c:v>
                </c:pt>
              </c:numCache>
            </c:numRef>
          </c:val>
          <c:smooth val="0"/>
        </c:ser>
        <c:ser>
          <c:idx val="0"/>
          <c:order val="1"/>
          <c:tx>
            <c:v>Seniors</c:v>
          </c:tx>
          <c:spPr>
            <a:ln w="101600" cap="flat">
              <a:solidFill>
                <a:srgbClr val="0000FF"/>
              </a:solidFill>
            </a:ln>
          </c:spPr>
          <c:marker>
            <c:symbol val="none"/>
          </c:marker>
          <c:cat>
            <c:strRef>
              <c:f>'Incoming only'!$AG$147:$AG$156</c:f>
              <c:strCache>
                <c:ptCount val="10"/>
                <c:pt idx="0">
                  <c:v>0-10%</c:v>
                </c:pt>
                <c:pt idx="1">
                  <c:v>11-20%</c:v>
                </c:pt>
                <c:pt idx="2">
                  <c:v>21-30%</c:v>
                </c:pt>
                <c:pt idx="3">
                  <c:v>31-40%</c:v>
                </c:pt>
                <c:pt idx="4">
                  <c:v>41-50%</c:v>
                </c:pt>
                <c:pt idx="5">
                  <c:v>51-60%</c:v>
                </c:pt>
                <c:pt idx="6">
                  <c:v>61-70%</c:v>
                </c:pt>
                <c:pt idx="7">
                  <c:v>71-80%</c:v>
                </c:pt>
                <c:pt idx="8">
                  <c:v>81-90%</c:v>
                </c:pt>
                <c:pt idx="9">
                  <c:v>90-100%</c:v>
                </c:pt>
              </c:strCache>
            </c:strRef>
          </c:cat>
          <c:val>
            <c:numRef>
              <c:f>'Senior results'!$AH$104:$AH$113</c:f>
              <c:numCache>
                <c:formatCode>0%</c:formatCode>
                <c:ptCount val="10"/>
                <c:pt idx="0">
                  <c:v>0</c:v>
                </c:pt>
                <c:pt idx="1">
                  <c:v>4.9382716049382713E-2</c:v>
                </c:pt>
                <c:pt idx="2">
                  <c:v>7.407407407407407E-2</c:v>
                </c:pt>
                <c:pt idx="3">
                  <c:v>9.8765432098765427E-2</c:v>
                </c:pt>
                <c:pt idx="4">
                  <c:v>8.6419753086419748E-2</c:v>
                </c:pt>
                <c:pt idx="5">
                  <c:v>0.1111111111111111</c:v>
                </c:pt>
                <c:pt idx="6">
                  <c:v>0.13580246913580246</c:v>
                </c:pt>
                <c:pt idx="7">
                  <c:v>0.18518518518518517</c:v>
                </c:pt>
                <c:pt idx="8">
                  <c:v>9.8765432098765427E-2</c:v>
                </c:pt>
                <c:pt idx="9">
                  <c:v>0.16049382716049382</c:v>
                </c:pt>
              </c:numCache>
            </c:numRef>
          </c:val>
          <c:smooth val="0"/>
        </c:ser>
        <c:dLbls>
          <c:showLegendKey val="0"/>
          <c:showVal val="0"/>
          <c:showCatName val="0"/>
          <c:showSerName val="0"/>
          <c:showPercent val="0"/>
          <c:showBubbleSize val="0"/>
        </c:dLbls>
        <c:marker val="1"/>
        <c:smooth val="0"/>
        <c:axId val="70026368"/>
        <c:axId val="70166016"/>
      </c:lineChart>
      <c:catAx>
        <c:axId val="70026368"/>
        <c:scaling>
          <c:orientation val="minMax"/>
        </c:scaling>
        <c:delete val="0"/>
        <c:axPos val="b"/>
        <c:title>
          <c:tx>
            <c:rich>
              <a:bodyPr/>
              <a:lstStyle/>
              <a:p>
                <a:pPr>
                  <a:defRPr sz="1600"/>
                </a:pPr>
                <a:r>
                  <a:rPr lang="en-US" sz="1600"/>
                  <a:t>Score Range</a:t>
                </a:r>
              </a:p>
            </c:rich>
          </c:tx>
          <c:layout>
            <c:manualLayout>
              <c:xMode val="edge"/>
              <c:yMode val="edge"/>
              <c:x val="0.46011748968996602"/>
              <c:y val="0.89584375365023072"/>
            </c:manualLayout>
          </c:layout>
          <c:overlay val="0"/>
        </c:title>
        <c:numFmt formatCode="0%" sourceLinked="1"/>
        <c:majorTickMark val="out"/>
        <c:minorTickMark val="none"/>
        <c:tickLblPos val="nextTo"/>
        <c:txPr>
          <a:bodyPr/>
          <a:lstStyle/>
          <a:p>
            <a:pPr>
              <a:defRPr sz="1200"/>
            </a:pPr>
            <a:endParaRPr lang="en-US"/>
          </a:p>
        </c:txPr>
        <c:crossAx val="70166016"/>
        <c:crosses val="autoZero"/>
        <c:auto val="1"/>
        <c:lblAlgn val="ctr"/>
        <c:lblOffset val="100"/>
        <c:noMultiLvlLbl val="0"/>
      </c:catAx>
      <c:valAx>
        <c:axId val="70166016"/>
        <c:scaling>
          <c:orientation val="minMax"/>
          <c:min val="0"/>
        </c:scaling>
        <c:delete val="0"/>
        <c:axPos val="l"/>
        <c:title>
          <c:tx>
            <c:rich>
              <a:bodyPr rot="-5400000" vert="horz"/>
              <a:lstStyle/>
              <a:p>
                <a:pPr>
                  <a:defRPr sz="1600"/>
                </a:pPr>
                <a:r>
                  <a:rPr lang="en-US" sz="1600"/>
                  <a:t>Fraction</a:t>
                </a:r>
                <a:r>
                  <a:rPr lang="en-US" sz="1600" baseline="0"/>
                  <a:t> of </a:t>
                </a:r>
                <a:r>
                  <a:rPr lang="en-US" sz="1600"/>
                  <a:t>Students</a:t>
                </a:r>
              </a:p>
            </c:rich>
          </c:tx>
          <c:overlay val="0"/>
        </c:title>
        <c:numFmt formatCode="0%" sourceLinked="0"/>
        <c:majorTickMark val="out"/>
        <c:minorTickMark val="none"/>
        <c:tickLblPos val="nextTo"/>
        <c:txPr>
          <a:bodyPr/>
          <a:lstStyle/>
          <a:p>
            <a:pPr>
              <a:defRPr sz="1200"/>
            </a:pPr>
            <a:endParaRPr lang="en-US"/>
          </a:p>
        </c:txPr>
        <c:crossAx val="70026368"/>
        <c:crosses val="autoZero"/>
        <c:crossBetween val="midCat"/>
      </c:valAx>
    </c:plotArea>
    <c:legend>
      <c:legendPos val="r"/>
      <c:layout>
        <c:manualLayout>
          <c:xMode val="edge"/>
          <c:yMode val="edge"/>
          <c:x val="0.14672780231739324"/>
          <c:y val="0.1164249725546439"/>
          <c:w val="0.35657947182629579"/>
          <c:h val="0.12194777603073349"/>
        </c:manualLayout>
      </c:layout>
      <c:overlay val="0"/>
      <c:txPr>
        <a:bodyPr/>
        <a:lstStyle/>
        <a:p>
          <a:pPr>
            <a:defRPr sz="120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Incoming Student and Senior QLRA Skills Comparison</a:t>
            </a:r>
            <a:endParaRPr lang="en-US">
              <a:effectLst/>
            </a:endParaRPr>
          </a:p>
        </c:rich>
      </c:tx>
      <c:layout>
        <c:manualLayout>
          <c:xMode val="edge"/>
          <c:yMode val="edge"/>
          <c:x val="0.15958532606669787"/>
          <c:y val="1.4531215586925069E-3"/>
        </c:manualLayout>
      </c:layout>
      <c:overlay val="1"/>
    </c:title>
    <c:autoTitleDeleted val="0"/>
    <c:plotArea>
      <c:layout>
        <c:manualLayout>
          <c:layoutTarget val="inner"/>
          <c:xMode val="edge"/>
          <c:yMode val="edge"/>
          <c:x val="0.1237674538592118"/>
          <c:y val="8.0269618280043462E-2"/>
          <c:w val="0.85738072586685021"/>
          <c:h val="0.55222862610112466"/>
        </c:manualLayout>
      </c:layout>
      <c:barChart>
        <c:barDir val="col"/>
        <c:grouping val="clustered"/>
        <c:varyColors val="0"/>
        <c:ser>
          <c:idx val="0"/>
          <c:order val="0"/>
          <c:tx>
            <c:v>Incoming Students</c:v>
          </c:tx>
          <c:spPr>
            <a:solidFill>
              <a:srgbClr val="0066FF"/>
            </a:solidFill>
          </c:spPr>
          <c:invertIfNegative val="0"/>
          <c:cat>
            <c:strRef>
              <c:f>'[15FA QAR Results Segregated by entering declared majors etc   .xlsx] entering aonly'!$CJ$3:$CJ$22</c:f>
              <c:strCache>
                <c:ptCount val="20"/>
                <c:pt idx="0">
                  <c:v>Algebra</c:v>
                </c:pt>
                <c:pt idx="1">
                  <c:v>Pie Chart</c:v>
                </c:pt>
                <c:pt idx="2">
                  <c:v>Tables</c:v>
                </c:pt>
                <c:pt idx="3">
                  <c:v>Bar Chart</c:v>
                </c:pt>
                <c:pt idx="4">
                  <c:v>Logic</c:v>
                </c:pt>
                <c:pt idx="5">
                  <c:v>Percentages</c:v>
                </c:pt>
                <c:pt idx="6">
                  <c:v>Verbal representation</c:v>
                </c:pt>
                <c:pt idx="7">
                  <c:v>Rates</c:v>
                </c:pt>
                <c:pt idx="8">
                  <c:v>Linear Growth</c:v>
                </c:pt>
                <c:pt idx="9">
                  <c:v>Unit Conversions</c:v>
                </c:pt>
                <c:pt idx="10">
                  <c:v>Proportional Reasoning</c:v>
                </c:pt>
                <c:pt idx="11">
                  <c:v>Graphs</c:v>
                </c:pt>
                <c:pt idx="12">
                  <c:v>Fractions</c:v>
                </c:pt>
                <c:pt idx="13">
                  <c:v>Means</c:v>
                </c:pt>
                <c:pt idx="14">
                  <c:v>Histograms</c:v>
                </c:pt>
                <c:pt idx="15">
                  <c:v>Scale (large numbers)</c:v>
                </c:pt>
                <c:pt idx="16">
                  <c:v>Decimals</c:v>
                </c:pt>
                <c:pt idx="17">
                  <c:v>Probability</c:v>
                </c:pt>
                <c:pt idx="18">
                  <c:v>Complement</c:v>
                </c:pt>
                <c:pt idx="19">
                  <c:v>Rounding</c:v>
                </c:pt>
              </c:strCache>
            </c:strRef>
          </c:cat>
          <c:val>
            <c:numRef>
              <c:f>'[15FA QAR Results Segregated by entering declared majors etc   .xlsx] entering aonly'!$CK$3:$CK$22</c:f>
              <c:numCache>
                <c:formatCode>0%</c:formatCode>
                <c:ptCount val="20"/>
                <c:pt idx="0">
                  <c:v>0.20560747663551401</c:v>
                </c:pt>
                <c:pt idx="1">
                  <c:v>0.30841121495327101</c:v>
                </c:pt>
                <c:pt idx="2">
                  <c:v>0.37850467289719625</c:v>
                </c:pt>
                <c:pt idx="3">
                  <c:v>0.38317757009345793</c:v>
                </c:pt>
                <c:pt idx="4">
                  <c:v>0.42056074766355139</c:v>
                </c:pt>
                <c:pt idx="5">
                  <c:v>0.43524699599465955</c:v>
                </c:pt>
                <c:pt idx="6">
                  <c:v>0.44112149532710276</c:v>
                </c:pt>
                <c:pt idx="7">
                  <c:v>0.44548286604361365</c:v>
                </c:pt>
                <c:pt idx="8">
                  <c:v>0.49532710280373832</c:v>
                </c:pt>
                <c:pt idx="9">
                  <c:v>0.49999999999999994</c:v>
                </c:pt>
                <c:pt idx="10">
                  <c:v>0.57943925233644855</c:v>
                </c:pt>
                <c:pt idx="11">
                  <c:v>0.63177570093457946</c:v>
                </c:pt>
                <c:pt idx="12">
                  <c:v>0.64299065420560741</c:v>
                </c:pt>
                <c:pt idx="13">
                  <c:v>0.65420560747663548</c:v>
                </c:pt>
                <c:pt idx="14">
                  <c:v>0.65420560747663548</c:v>
                </c:pt>
                <c:pt idx="15">
                  <c:v>0.66355140186915884</c:v>
                </c:pt>
                <c:pt idx="16">
                  <c:v>0.67289719626168221</c:v>
                </c:pt>
                <c:pt idx="17">
                  <c:v>0.74766355140186913</c:v>
                </c:pt>
                <c:pt idx="18">
                  <c:v>0.76635514018691586</c:v>
                </c:pt>
                <c:pt idx="19">
                  <c:v>0.77570093457943923</c:v>
                </c:pt>
              </c:numCache>
            </c:numRef>
          </c:val>
        </c:ser>
        <c:ser>
          <c:idx val="1"/>
          <c:order val="1"/>
          <c:tx>
            <c:v>Seniors</c:v>
          </c:tx>
          <c:spPr>
            <a:solidFill>
              <a:srgbClr val="FF0000"/>
            </a:solidFill>
          </c:spPr>
          <c:invertIfNegative val="0"/>
          <c:val>
            <c:numRef>
              <c:f>'Senior results'!$BN$3:$BN$22</c:f>
              <c:numCache>
                <c:formatCode>0%</c:formatCode>
                <c:ptCount val="20"/>
                <c:pt idx="0">
                  <c:v>0.54320987654320985</c:v>
                </c:pt>
                <c:pt idx="1">
                  <c:v>0.69135802469135799</c:v>
                </c:pt>
                <c:pt idx="2">
                  <c:v>0.39506172839506171</c:v>
                </c:pt>
                <c:pt idx="3">
                  <c:v>0.50617283950617287</c:v>
                </c:pt>
                <c:pt idx="4">
                  <c:v>0.55555555555555558</c:v>
                </c:pt>
                <c:pt idx="5">
                  <c:v>0.61111111111111116</c:v>
                </c:pt>
                <c:pt idx="6">
                  <c:v>0.64021164021164023</c:v>
                </c:pt>
                <c:pt idx="7">
                  <c:v>0.55061728395061726</c:v>
                </c:pt>
                <c:pt idx="8">
                  <c:v>0.61111111111111116</c:v>
                </c:pt>
                <c:pt idx="9">
                  <c:v>0.66843033509700167</c:v>
                </c:pt>
                <c:pt idx="10">
                  <c:v>0.61728395061728392</c:v>
                </c:pt>
                <c:pt idx="11">
                  <c:v>0.61728395061728392</c:v>
                </c:pt>
                <c:pt idx="12">
                  <c:v>0.65432098765432101</c:v>
                </c:pt>
                <c:pt idx="13">
                  <c:v>0.77777777777777779</c:v>
                </c:pt>
                <c:pt idx="14">
                  <c:v>0.55555555555555558</c:v>
                </c:pt>
                <c:pt idx="15">
                  <c:v>0.76296296296296295</c:v>
                </c:pt>
                <c:pt idx="16">
                  <c:v>0.75308641975308643</c:v>
                </c:pt>
                <c:pt idx="17">
                  <c:v>0.75308641975308643</c:v>
                </c:pt>
                <c:pt idx="18">
                  <c:v>0.88888888888888884</c:v>
                </c:pt>
                <c:pt idx="19">
                  <c:v>0.85185185185185186</c:v>
                </c:pt>
              </c:numCache>
            </c:numRef>
          </c:val>
        </c:ser>
        <c:dLbls>
          <c:showLegendKey val="0"/>
          <c:showVal val="0"/>
          <c:showCatName val="0"/>
          <c:showSerName val="0"/>
          <c:showPercent val="0"/>
          <c:showBubbleSize val="0"/>
        </c:dLbls>
        <c:gapWidth val="150"/>
        <c:axId val="97493376"/>
        <c:axId val="97495296"/>
      </c:barChart>
      <c:catAx>
        <c:axId val="97493376"/>
        <c:scaling>
          <c:orientation val="minMax"/>
        </c:scaling>
        <c:delete val="0"/>
        <c:axPos val="b"/>
        <c:title>
          <c:tx>
            <c:rich>
              <a:bodyPr/>
              <a:lstStyle/>
              <a:p>
                <a:pPr>
                  <a:defRPr sz="1400"/>
                </a:pPr>
                <a:r>
                  <a:rPr lang="en-US" sz="1400"/>
                  <a:t>Skill</a:t>
                </a:r>
                <a:r>
                  <a:rPr lang="en-US" sz="1400" baseline="0"/>
                  <a:t> Assessed</a:t>
                </a:r>
                <a:endParaRPr lang="en-US" sz="1400"/>
              </a:p>
            </c:rich>
          </c:tx>
          <c:layout>
            <c:manualLayout>
              <c:xMode val="edge"/>
              <c:yMode val="edge"/>
              <c:x val="0.45671303870364982"/>
              <c:y val="0.93693924559847264"/>
            </c:manualLayout>
          </c:layout>
          <c:overlay val="0"/>
        </c:title>
        <c:numFmt formatCode="General" sourceLinked="1"/>
        <c:majorTickMark val="out"/>
        <c:minorTickMark val="none"/>
        <c:tickLblPos val="nextTo"/>
        <c:txPr>
          <a:bodyPr/>
          <a:lstStyle/>
          <a:p>
            <a:pPr>
              <a:defRPr sz="1200"/>
            </a:pPr>
            <a:endParaRPr lang="en-US"/>
          </a:p>
        </c:txPr>
        <c:crossAx val="97495296"/>
        <c:crosses val="autoZero"/>
        <c:auto val="1"/>
        <c:lblAlgn val="ctr"/>
        <c:lblOffset val="100"/>
        <c:noMultiLvlLbl val="0"/>
      </c:catAx>
      <c:valAx>
        <c:axId val="97495296"/>
        <c:scaling>
          <c:orientation val="minMax"/>
        </c:scaling>
        <c:delete val="0"/>
        <c:axPos val="l"/>
        <c:title>
          <c:tx>
            <c:rich>
              <a:bodyPr rot="-5400000" vert="horz"/>
              <a:lstStyle/>
              <a:p>
                <a:pPr>
                  <a:defRPr sz="1600"/>
                </a:pPr>
                <a:r>
                  <a:rPr lang="en-US" sz="1600"/>
                  <a:t>Fraction Correct </a:t>
                </a:r>
              </a:p>
            </c:rich>
          </c:tx>
          <c:layout>
            <c:manualLayout>
              <c:xMode val="edge"/>
              <c:yMode val="edge"/>
              <c:x val="4.7843351188303152E-3"/>
              <c:y val="0.16812708237143892"/>
            </c:manualLayout>
          </c:layout>
          <c:overlay val="0"/>
        </c:title>
        <c:numFmt formatCode="0%" sourceLinked="0"/>
        <c:majorTickMark val="out"/>
        <c:minorTickMark val="none"/>
        <c:tickLblPos val="nextTo"/>
        <c:txPr>
          <a:bodyPr/>
          <a:lstStyle/>
          <a:p>
            <a:pPr>
              <a:defRPr sz="1200"/>
            </a:pPr>
            <a:endParaRPr lang="en-US"/>
          </a:p>
        </c:txPr>
        <c:crossAx val="97493376"/>
        <c:crosses val="autoZero"/>
        <c:crossBetween val="between"/>
      </c:valAx>
      <c:spPr>
        <a:ln>
          <a:noFill/>
        </a:ln>
      </c:spPr>
    </c:plotArea>
    <c:legend>
      <c:legendPos val="r"/>
      <c:layout>
        <c:manualLayout>
          <c:xMode val="edge"/>
          <c:yMode val="edge"/>
          <c:x val="0.16646850273268016"/>
          <c:y val="9.2861306105860533E-2"/>
          <c:w val="0.27615941433016639"/>
          <c:h val="9.9214287222140124E-2"/>
        </c:manualLayout>
      </c:layout>
      <c:overlay val="0"/>
      <c:txPr>
        <a:bodyPr/>
        <a:lstStyle/>
        <a:p>
          <a:pPr>
            <a:defRPr sz="140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4018</Words>
  <Characters>22908</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scontakes</dc:creator>
  <cp:lastModifiedBy>tnazarenko</cp:lastModifiedBy>
  <cp:revision>2</cp:revision>
  <dcterms:created xsi:type="dcterms:W3CDTF">2016-02-12T19:41:00Z</dcterms:created>
  <dcterms:modified xsi:type="dcterms:W3CDTF">2016-02-12T19:41:00Z</dcterms:modified>
</cp:coreProperties>
</file>