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1A" w:rsidRPr="007A4D3E" w:rsidRDefault="00EE031A" w:rsidP="007A4D3E">
      <w:pPr>
        <w:tabs>
          <w:tab w:val="left" w:pos="180"/>
          <w:tab w:val="left" w:pos="900"/>
        </w:tabs>
        <w:spacing w:after="0" w:line="240" w:lineRule="auto"/>
        <w:jc w:val="center"/>
        <w:rPr>
          <w:b/>
          <w:sz w:val="32"/>
        </w:rPr>
      </w:pPr>
      <w:r w:rsidRPr="007A4D3E">
        <w:rPr>
          <w:b/>
          <w:sz w:val="32"/>
        </w:rPr>
        <w:t>2015-16 Quantitative Literacy ILO Assessment</w:t>
      </w:r>
    </w:p>
    <w:p w:rsidR="00BC26F9" w:rsidRPr="007A4D3E" w:rsidRDefault="00023541" w:rsidP="007A4D3E">
      <w:pPr>
        <w:tabs>
          <w:tab w:val="left" w:pos="180"/>
          <w:tab w:val="left" w:pos="900"/>
        </w:tabs>
        <w:spacing w:after="0" w:line="240" w:lineRule="auto"/>
        <w:jc w:val="center"/>
        <w:rPr>
          <w:b/>
          <w:sz w:val="28"/>
        </w:rPr>
      </w:pPr>
      <w:r w:rsidRPr="007A4D3E">
        <w:rPr>
          <w:b/>
          <w:sz w:val="32"/>
        </w:rPr>
        <w:t>Summary of Efforts and Progress as of</w:t>
      </w:r>
      <w:r w:rsidR="00BC26F9" w:rsidRPr="007A4D3E">
        <w:rPr>
          <w:b/>
          <w:sz w:val="32"/>
        </w:rPr>
        <w:t xml:space="preserve"> February 2016</w:t>
      </w:r>
    </w:p>
    <w:p w:rsidR="00AA2247" w:rsidRPr="008A18AC" w:rsidRDefault="00AA2247" w:rsidP="006E20C2">
      <w:pPr>
        <w:spacing w:after="0" w:line="240" w:lineRule="auto"/>
        <w:jc w:val="both"/>
        <w:rPr>
          <w:b/>
          <w:sz w:val="2"/>
        </w:rPr>
      </w:pPr>
    </w:p>
    <w:p w:rsidR="006C542F" w:rsidRPr="007A4D3E" w:rsidRDefault="006C542F" w:rsidP="006B0CBE">
      <w:pPr>
        <w:spacing w:after="0" w:line="240" w:lineRule="auto"/>
        <w:jc w:val="center"/>
        <w:rPr>
          <w:sz w:val="24"/>
        </w:rPr>
      </w:pPr>
      <w:r w:rsidRPr="007A4D3E">
        <w:rPr>
          <w:sz w:val="24"/>
        </w:rPr>
        <w:t xml:space="preserve">Stephen </w:t>
      </w:r>
      <w:proofErr w:type="spellStart"/>
      <w:r w:rsidRPr="007A4D3E">
        <w:rPr>
          <w:sz w:val="24"/>
        </w:rPr>
        <w:t>Contakes</w:t>
      </w:r>
      <w:proofErr w:type="spellEnd"/>
      <w:r w:rsidRPr="007A4D3E">
        <w:rPr>
          <w:sz w:val="24"/>
        </w:rPr>
        <w:t xml:space="preserve">, Ray </w:t>
      </w:r>
      <w:proofErr w:type="spellStart"/>
      <w:r w:rsidRPr="007A4D3E">
        <w:rPr>
          <w:sz w:val="24"/>
        </w:rPr>
        <w:t>Rosentrater</w:t>
      </w:r>
      <w:proofErr w:type="spellEnd"/>
      <w:r w:rsidRPr="007A4D3E">
        <w:rPr>
          <w:sz w:val="24"/>
        </w:rPr>
        <w:t xml:space="preserve">, and Enrico </w:t>
      </w:r>
      <w:proofErr w:type="spellStart"/>
      <w:r w:rsidRPr="007A4D3E">
        <w:rPr>
          <w:sz w:val="24"/>
        </w:rPr>
        <w:t>Manlapig</w:t>
      </w:r>
      <w:proofErr w:type="spellEnd"/>
      <w:r w:rsidRPr="007A4D3E">
        <w:rPr>
          <w:sz w:val="24"/>
        </w:rPr>
        <w:t>, QL ILO Assessment Team</w:t>
      </w:r>
    </w:p>
    <w:p w:rsidR="006C542F" w:rsidRPr="008A18AC" w:rsidRDefault="006C542F" w:rsidP="006E20C2">
      <w:pPr>
        <w:spacing w:after="0" w:line="240" w:lineRule="auto"/>
        <w:jc w:val="both"/>
        <w:rPr>
          <w:b/>
          <w:sz w:val="14"/>
        </w:rPr>
      </w:pPr>
    </w:p>
    <w:p w:rsidR="006A7200" w:rsidRDefault="006B0CBE" w:rsidP="006E20C2">
      <w:pPr>
        <w:spacing w:after="0" w:line="240" w:lineRule="auto"/>
        <w:jc w:val="both"/>
        <w:rPr>
          <w:b/>
          <w:sz w:val="24"/>
        </w:rPr>
      </w:pPr>
      <w:r>
        <w:rPr>
          <w:b/>
          <w:sz w:val="24"/>
        </w:rPr>
        <w:t>What are our aims?</w:t>
      </w:r>
      <w:r w:rsidR="006A7200">
        <w:rPr>
          <w:b/>
          <w:sz w:val="24"/>
        </w:rPr>
        <w:t xml:space="preserve"> </w:t>
      </w:r>
    </w:p>
    <w:p w:rsidR="006A7200" w:rsidRPr="006A7200" w:rsidRDefault="006A7200" w:rsidP="006A7200">
      <w:pPr>
        <w:spacing w:after="0" w:line="240" w:lineRule="auto"/>
        <w:jc w:val="both"/>
        <w:rPr>
          <w:b/>
          <w:sz w:val="24"/>
        </w:rPr>
      </w:pPr>
      <w:r>
        <w:rPr>
          <w:sz w:val="24"/>
        </w:rPr>
        <w:t>The present project</w:t>
      </w:r>
      <w:r w:rsidRPr="006A7200">
        <w:rPr>
          <w:sz w:val="24"/>
        </w:rPr>
        <w:t xml:space="preserve"> seeks to assess scope and adequacy of Westmont</w:t>
      </w:r>
      <w:r>
        <w:rPr>
          <w:sz w:val="24"/>
        </w:rPr>
        <w:t>’s Q</w:t>
      </w:r>
      <w:r w:rsidRPr="006A7200">
        <w:rPr>
          <w:sz w:val="24"/>
        </w:rPr>
        <w:t xml:space="preserve">uantitative </w:t>
      </w:r>
      <w:r>
        <w:rPr>
          <w:sz w:val="24"/>
        </w:rPr>
        <w:t>L</w:t>
      </w:r>
      <w:r w:rsidRPr="006A7200">
        <w:rPr>
          <w:sz w:val="24"/>
        </w:rPr>
        <w:t>iteracy</w:t>
      </w:r>
      <w:r>
        <w:rPr>
          <w:sz w:val="24"/>
        </w:rPr>
        <w:t xml:space="preserve"> (QL)</w:t>
      </w:r>
      <w:r w:rsidRPr="006A7200">
        <w:rPr>
          <w:sz w:val="24"/>
        </w:rPr>
        <w:t xml:space="preserve"> ILO:</w:t>
      </w:r>
    </w:p>
    <w:p w:rsidR="006A7200" w:rsidRPr="006A7200" w:rsidRDefault="006A7200" w:rsidP="006E20C2">
      <w:pPr>
        <w:spacing w:after="0" w:line="240" w:lineRule="auto"/>
        <w:jc w:val="both"/>
        <w:rPr>
          <w:b/>
          <w:sz w:val="6"/>
        </w:rPr>
      </w:pPr>
    </w:p>
    <w:p w:rsidR="006A7200" w:rsidRDefault="008A18AC" w:rsidP="006A7200">
      <w:pPr>
        <w:spacing w:after="0" w:line="240" w:lineRule="auto"/>
        <w:ind w:left="720"/>
        <w:jc w:val="both"/>
        <w:rPr>
          <w:rFonts w:eastAsia="Times New Roman" w:cs="Arial"/>
          <w:sz w:val="24"/>
        </w:rPr>
      </w:pPr>
      <w:r>
        <w:rPr>
          <w:b/>
          <w:sz w:val="24"/>
        </w:rPr>
        <w:t xml:space="preserve">QL </w:t>
      </w:r>
      <w:r w:rsidR="00EE031A" w:rsidRPr="00AB1D58">
        <w:rPr>
          <w:b/>
          <w:sz w:val="24"/>
        </w:rPr>
        <w:t>ILO:</w:t>
      </w:r>
      <w:r w:rsidR="00EE031A" w:rsidRPr="00EE031A">
        <w:rPr>
          <w:sz w:val="24"/>
        </w:rPr>
        <w:t xml:space="preserve">  “Graduates of Westmont College will </w:t>
      </w:r>
      <w:r w:rsidR="00EE031A" w:rsidRPr="00EE031A">
        <w:rPr>
          <w:rFonts w:eastAsia="Times New Roman" w:cs="Arial"/>
          <w:sz w:val="24"/>
        </w:rPr>
        <w:t>apply relevant scientific, mathematical and logical methods to analyze and solve problems effectively and be able to utilize the results appropriately when making decisions (Quantitative Literacy)”</w:t>
      </w:r>
    </w:p>
    <w:p w:rsidR="006A7200" w:rsidRPr="006A7200" w:rsidRDefault="006A7200" w:rsidP="006A7200">
      <w:pPr>
        <w:spacing w:after="0" w:line="240" w:lineRule="auto"/>
        <w:ind w:left="720"/>
        <w:jc w:val="both"/>
        <w:rPr>
          <w:rFonts w:eastAsia="Times New Roman" w:cs="Arial"/>
          <w:sz w:val="6"/>
        </w:rPr>
      </w:pPr>
    </w:p>
    <w:p w:rsidR="006A7200" w:rsidRDefault="006A7200" w:rsidP="006E20C2">
      <w:pPr>
        <w:spacing w:after="0" w:line="240" w:lineRule="auto"/>
        <w:jc w:val="both"/>
        <w:rPr>
          <w:rFonts w:eastAsia="Times New Roman" w:cs="Arial"/>
          <w:sz w:val="24"/>
        </w:rPr>
      </w:pPr>
      <w:r>
        <w:rPr>
          <w:rFonts w:eastAsia="Times New Roman" w:cs="Arial"/>
          <w:sz w:val="24"/>
        </w:rPr>
        <w:t>As part of this effort the closely-aligned Quantitative &amp; Analytical Reasoning (QAR) GELO will also be assessed:</w:t>
      </w:r>
    </w:p>
    <w:p w:rsidR="006A7200" w:rsidRPr="006A7200" w:rsidRDefault="006A7200" w:rsidP="006E20C2">
      <w:pPr>
        <w:spacing w:after="0" w:line="240" w:lineRule="auto"/>
        <w:jc w:val="both"/>
        <w:rPr>
          <w:rFonts w:eastAsia="Times New Roman" w:cs="Arial"/>
          <w:sz w:val="4"/>
        </w:rPr>
      </w:pPr>
    </w:p>
    <w:p w:rsidR="006A7200" w:rsidRDefault="006A7200" w:rsidP="006A7200">
      <w:pPr>
        <w:shd w:val="clear" w:color="auto" w:fill="FFFFFF" w:themeFill="background1"/>
        <w:tabs>
          <w:tab w:val="left" w:pos="450"/>
        </w:tabs>
        <w:spacing w:after="0" w:line="240" w:lineRule="auto"/>
        <w:ind w:left="720"/>
        <w:jc w:val="both"/>
        <w:rPr>
          <w:rFonts w:ascii="Calibri" w:hAnsi="Calibri" w:cs="Calibri"/>
          <w:bCs/>
          <w:sz w:val="24"/>
          <w:szCs w:val="24"/>
        </w:rPr>
      </w:pPr>
      <w:r w:rsidRPr="006A7200">
        <w:rPr>
          <w:b/>
          <w:sz w:val="24"/>
          <w:szCs w:val="24"/>
        </w:rPr>
        <w:t>QAR GELO:</w:t>
      </w:r>
      <w:r w:rsidRPr="006C542F">
        <w:rPr>
          <w:sz w:val="24"/>
          <w:szCs w:val="24"/>
        </w:rPr>
        <w:t xml:space="preserve">  </w:t>
      </w:r>
      <w:r w:rsidRPr="006C542F">
        <w:rPr>
          <w:rFonts w:ascii="Calibri" w:eastAsia="Times New Roman" w:hAnsi="Calibri" w:cs="Calibri"/>
          <w:sz w:val="24"/>
          <w:szCs w:val="24"/>
        </w:rPr>
        <w:t xml:space="preserve">Students will </w:t>
      </w:r>
      <w:r w:rsidRPr="006C542F">
        <w:rPr>
          <w:rFonts w:ascii="Calibri" w:hAnsi="Calibri" w:cs="Calibri"/>
          <w:bCs/>
          <w:sz w:val="24"/>
          <w:szCs w:val="24"/>
        </w:rPr>
        <w:t>apply relevant scientific, mathematical and logical methods to analyze and solve problems effectively and be able to utilize the results appropriately when making decisions.</w:t>
      </w:r>
    </w:p>
    <w:p w:rsidR="0099260C" w:rsidRPr="0099260C" w:rsidRDefault="0099260C" w:rsidP="006A7200">
      <w:pPr>
        <w:shd w:val="clear" w:color="auto" w:fill="FFFFFF" w:themeFill="background1"/>
        <w:tabs>
          <w:tab w:val="left" w:pos="450"/>
        </w:tabs>
        <w:spacing w:after="0" w:line="240" w:lineRule="auto"/>
        <w:ind w:left="720"/>
        <w:jc w:val="both"/>
        <w:rPr>
          <w:rFonts w:ascii="Calibri" w:hAnsi="Calibri" w:cs="Calibri"/>
          <w:sz w:val="2"/>
          <w:szCs w:val="2"/>
        </w:rPr>
      </w:pPr>
    </w:p>
    <w:p w:rsidR="0099260C" w:rsidRPr="0099260C" w:rsidRDefault="000060AB" w:rsidP="0099260C">
      <w:pPr>
        <w:shd w:val="clear" w:color="auto" w:fill="FFFFFF" w:themeFill="background1"/>
        <w:tabs>
          <w:tab w:val="left" w:pos="450"/>
        </w:tabs>
        <w:spacing w:after="0" w:line="240" w:lineRule="auto"/>
        <w:jc w:val="both"/>
        <w:rPr>
          <w:rFonts w:ascii="Calibri" w:hAnsi="Calibri" w:cs="Calibri"/>
          <w:sz w:val="24"/>
          <w:szCs w:val="24"/>
        </w:rPr>
      </w:pPr>
      <w:r>
        <w:rPr>
          <w:sz w:val="24"/>
          <w:szCs w:val="24"/>
        </w:rPr>
        <w:t>We will u</w:t>
      </w:r>
      <w:r w:rsidR="0099260C">
        <w:rPr>
          <w:sz w:val="24"/>
          <w:szCs w:val="24"/>
        </w:rPr>
        <w:t>se our experiences assessing the QL ILO and QAR GELO to develop more effective, streamlined, and sustainable assessment efforts for these areas.</w:t>
      </w:r>
    </w:p>
    <w:p w:rsidR="0099260C" w:rsidRPr="008A18AC" w:rsidRDefault="0099260C" w:rsidP="006E20C2">
      <w:pPr>
        <w:tabs>
          <w:tab w:val="left" w:pos="180"/>
          <w:tab w:val="left" w:pos="900"/>
        </w:tabs>
        <w:spacing w:after="0" w:line="240" w:lineRule="auto"/>
        <w:jc w:val="both"/>
        <w:rPr>
          <w:sz w:val="16"/>
        </w:rPr>
      </w:pPr>
    </w:p>
    <w:p w:rsidR="00EE031A" w:rsidRDefault="006B0CBE" w:rsidP="006E20C2">
      <w:pPr>
        <w:tabs>
          <w:tab w:val="left" w:pos="180"/>
          <w:tab w:val="left" w:pos="900"/>
        </w:tabs>
        <w:spacing w:after="0" w:line="240" w:lineRule="auto"/>
        <w:jc w:val="both"/>
        <w:rPr>
          <w:sz w:val="24"/>
        </w:rPr>
      </w:pPr>
      <w:r>
        <w:rPr>
          <w:b/>
          <w:sz w:val="24"/>
        </w:rPr>
        <w:t>What is our a</w:t>
      </w:r>
      <w:r w:rsidR="0099260C">
        <w:rPr>
          <w:b/>
          <w:sz w:val="24"/>
        </w:rPr>
        <w:t>ssessment p</w:t>
      </w:r>
      <w:r w:rsidR="00334E7F">
        <w:rPr>
          <w:b/>
          <w:sz w:val="24"/>
        </w:rPr>
        <w:t>lan</w:t>
      </w:r>
      <w:r w:rsidR="0099260C">
        <w:rPr>
          <w:b/>
          <w:sz w:val="24"/>
        </w:rPr>
        <w:t xml:space="preserve"> and </w:t>
      </w:r>
      <w:r>
        <w:rPr>
          <w:b/>
          <w:sz w:val="24"/>
        </w:rPr>
        <w:t>how is it being implemented?</w:t>
      </w:r>
      <w:r w:rsidR="00EE031A">
        <w:rPr>
          <w:sz w:val="24"/>
        </w:rPr>
        <w:t xml:space="preserve"> </w:t>
      </w:r>
    </w:p>
    <w:p w:rsidR="00334E7F" w:rsidRDefault="008A18AC" w:rsidP="006E20C2">
      <w:pPr>
        <w:tabs>
          <w:tab w:val="left" w:pos="180"/>
          <w:tab w:val="left" w:pos="900"/>
        </w:tabs>
        <w:spacing w:after="0" w:line="240" w:lineRule="auto"/>
        <w:jc w:val="both"/>
        <w:rPr>
          <w:sz w:val="24"/>
        </w:rPr>
      </w:pPr>
      <w:r>
        <w:rPr>
          <w:sz w:val="24"/>
        </w:rPr>
        <w:t>Our plan</w:t>
      </w:r>
      <w:r w:rsidR="006A7200">
        <w:rPr>
          <w:sz w:val="24"/>
        </w:rPr>
        <w:t xml:space="preserve"> to assess the scope and impact</w:t>
      </w:r>
      <w:r w:rsidR="00EE031A" w:rsidRPr="009E4AF0">
        <w:rPr>
          <w:sz w:val="24"/>
        </w:rPr>
        <w:t xml:space="preserve"> of quantitative literacy education </w:t>
      </w:r>
      <w:r>
        <w:rPr>
          <w:sz w:val="24"/>
        </w:rPr>
        <w:t>at Westmont was to</w:t>
      </w:r>
      <w:r w:rsidR="00334E7F">
        <w:rPr>
          <w:sz w:val="24"/>
        </w:rPr>
        <w:t>:</w:t>
      </w:r>
    </w:p>
    <w:p w:rsidR="006A7200" w:rsidRPr="006A7200" w:rsidRDefault="006A7200" w:rsidP="006E20C2">
      <w:pPr>
        <w:tabs>
          <w:tab w:val="left" w:pos="180"/>
          <w:tab w:val="left" w:pos="900"/>
        </w:tabs>
        <w:spacing w:after="0" w:line="240" w:lineRule="auto"/>
        <w:jc w:val="both"/>
        <w:rPr>
          <w:sz w:val="2"/>
          <w:szCs w:val="8"/>
        </w:rPr>
      </w:pPr>
    </w:p>
    <w:p w:rsidR="00EE031A" w:rsidRDefault="006A7200" w:rsidP="006C542F">
      <w:pPr>
        <w:pStyle w:val="ListParagraph"/>
        <w:numPr>
          <w:ilvl w:val="0"/>
          <w:numId w:val="13"/>
        </w:numPr>
        <w:shd w:val="clear" w:color="auto" w:fill="FFFFFF" w:themeFill="background1"/>
        <w:tabs>
          <w:tab w:val="left" w:pos="180"/>
          <w:tab w:val="left" w:pos="900"/>
        </w:tabs>
        <w:spacing w:after="0" w:line="240" w:lineRule="auto"/>
        <w:jc w:val="both"/>
        <w:rPr>
          <w:sz w:val="24"/>
        </w:rPr>
      </w:pPr>
      <w:r>
        <w:rPr>
          <w:sz w:val="24"/>
        </w:rPr>
        <w:t>Evaluate the alignment between the QL ILO and</w:t>
      </w:r>
      <w:r w:rsidR="00EE031A" w:rsidRPr="00334E7F">
        <w:rPr>
          <w:sz w:val="24"/>
        </w:rPr>
        <w:t xml:space="preserve"> </w:t>
      </w:r>
      <w:r w:rsidR="00C22844">
        <w:rPr>
          <w:sz w:val="24"/>
        </w:rPr>
        <w:t xml:space="preserve">the scope, quality, and </w:t>
      </w:r>
      <w:r w:rsidR="00C22844" w:rsidRPr="006C542F">
        <w:rPr>
          <w:sz w:val="24"/>
        </w:rPr>
        <w:t xml:space="preserve">impact of </w:t>
      </w:r>
      <w:r w:rsidR="00EE031A" w:rsidRPr="006C542F">
        <w:rPr>
          <w:sz w:val="24"/>
        </w:rPr>
        <w:t>the</w:t>
      </w:r>
      <w:r w:rsidR="00C22844" w:rsidRPr="006C542F">
        <w:rPr>
          <w:sz w:val="24"/>
        </w:rPr>
        <w:t xml:space="preserve"> courses offered in the</w:t>
      </w:r>
      <w:r w:rsidR="00EE031A" w:rsidRPr="006C542F">
        <w:rPr>
          <w:sz w:val="24"/>
        </w:rPr>
        <w:t xml:space="preserve"> Quantitative and Analytical Reasoning (QAR) GE category </w:t>
      </w:r>
      <w:r>
        <w:rPr>
          <w:sz w:val="24"/>
        </w:rPr>
        <w:t>and</w:t>
      </w:r>
      <w:r w:rsidR="000F31D9" w:rsidRPr="006C542F">
        <w:rPr>
          <w:sz w:val="24"/>
        </w:rPr>
        <w:t xml:space="preserve"> student’s self-reporting of engagement with quantitative reasoning on the appropriate items on the National Survey of Studen</w:t>
      </w:r>
      <w:r>
        <w:rPr>
          <w:sz w:val="24"/>
        </w:rPr>
        <w:t>t Engagement (NSSE).</w:t>
      </w:r>
      <w:r w:rsidR="0099260C">
        <w:rPr>
          <w:sz w:val="24"/>
        </w:rPr>
        <w:t xml:space="preserve">  </w:t>
      </w:r>
      <w:r w:rsidR="00151073">
        <w:rPr>
          <w:sz w:val="24"/>
        </w:rPr>
        <w:t>The QL ILO</w:t>
      </w:r>
      <w:r w:rsidR="000060AB">
        <w:rPr>
          <w:sz w:val="24"/>
        </w:rPr>
        <w:t xml:space="preserve">, </w:t>
      </w:r>
      <w:r w:rsidR="00151073">
        <w:rPr>
          <w:sz w:val="24"/>
        </w:rPr>
        <w:t>QAR GELO</w:t>
      </w:r>
      <w:r w:rsidR="000060AB">
        <w:rPr>
          <w:sz w:val="24"/>
        </w:rPr>
        <w:t>,</w:t>
      </w:r>
      <w:r w:rsidR="00151073">
        <w:rPr>
          <w:sz w:val="24"/>
        </w:rPr>
        <w:t xml:space="preserve"> and </w:t>
      </w:r>
      <w:r w:rsidR="000060AB">
        <w:rPr>
          <w:sz w:val="24"/>
        </w:rPr>
        <w:t xml:space="preserve">QAR course </w:t>
      </w:r>
      <w:r w:rsidR="00151073">
        <w:rPr>
          <w:sz w:val="24"/>
        </w:rPr>
        <w:t xml:space="preserve">certification criteria were reviewed in the fall of 2014 and spring of 2015.  </w:t>
      </w:r>
      <w:r w:rsidR="0099260C">
        <w:rPr>
          <w:sz w:val="24"/>
        </w:rPr>
        <w:t>A survey of Westmont’s QAR GE offerings, QAR GE course syllabi, and NSSE responses was completed over the period September to January 2016.</w:t>
      </w:r>
    </w:p>
    <w:p w:rsidR="006A7200" w:rsidRPr="006A7200" w:rsidRDefault="006A7200" w:rsidP="006A7200">
      <w:pPr>
        <w:pStyle w:val="ListParagraph"/>
        <w:shd w:val="clear" w:color="auto" w:fill="FFFFFF" w:themeFill="background1"/>
        <w:tabs>
          <w:tab w:val="left" w:pos="180"/>
          <w:tab w:val="left" w:pos="900"/>
        </w:tabs>
        <w:spacing w:after="0" w:line="240" w:lineRule="auto"/>
        <w:jc w:val="both"/>
        <w:rPr>
          <w:sz w:val="2"/>
          <w:szCs w:val="2"/>
        </w:rPr>
      </w:pPr>
    </w:p>
    <w:p w:rsidR="006A7200" w:rsidRPr="006A7200" w:rsidRDefault="006A7200" w:rsidP="006A7200">
      <w:pPr>
        <w:pStyle w:val="ListParagraph"/>
        <w:shd w:val="clear" w:color="auto" w:fill="FFFFFF" w:themeFill="background1"/>
        <w:tabs>
          <w:tab w:val="left" w:pos="180"/>
          <w:tab w:val="left" w:pos="900"/>
        </w:tabs>
        <w:spacing w:after="0" w:line="240" w:lineRule="auto"/>
        <w:jc w:val="both"/>
        <w:rPr>
          <w:sz w:val="2"/>
        </w:rPr>
      </w:pPr>
    </w:p>
    <w:p w:rsidR="00F93B97" w:rsidRPr="006C542F" w:rsidRDefault="006A7200" w:rsidP="006C542F">
      <w:pPr>
        <w:pStyle w:val="ListParagraph"/>
        <w:numPr>
          <w:ilvl w:val="0"/>
          <w:numId w:val="13"/>
        </w:numPr>
        <w:shd w:val="clear" w:color="auto" w:fill="FFFFFF" w:themeFill="background1"/>
        <w:tabs>
          <w:tab w:val="left" w:pos="180"/>
          <w:tab w:val="left" w:pos="900"/>
        </w:tabs>
        <w:spacing w:after="0" w:line="240" w:lineRule="auto"/>
        <w:jc w:val="both"/>
        <w:rPr>
          <w:sz w:val="24"/>
        </w:rPr>
      </w:pPr>
      <w:r>
        <w:rPr>
          <w:sz w:val="24"/>
        </w:rPr>
        <w:t xml:space="preserve">Evaluate </w:t>
      </w:r>
      <w:r w:rsidR="00334E7F" w:rsidRPr="006C542F">
        <w:rPr>
          <w:sz w:val="24"/>
        </w:rPr>
        <w:t xml:space="preserve">the overall impact of quantitative literacy education at Westmont by </w:t>
      </w:r>
      <w:r>
        <w:rPr>
          <w:sz w:val="24"/>
        </w:rPr>
        <w:t xml:space="preserve">using the </w:t>
      </w:r>
      <w:r w:rsidRPr="006C542F">
        <w:rPr>
          <w:sz w:val="24"/>
        </w:rPr>
        <w:t xml:space="preserve">Quantitative Literacy Reasoning Assessment (QLRA) test </w:t>
      </w:r>
      <w:r>
        <w:rPr>
          <w:sz w:val="24"/>
        </w:rPr>
        <w:t>to assess compare</w:t>
      </w:r>
      <w:r w:rsidR="00334E7F" w:rsidRPr="006C542F">
        <w:rPr>
          <w:sz w:val="24"/>
        </w:rPr>
        <w:t xml:space="preserve"> the</w:t>
      </w:r>
      <w:r w:rsidR="00F93B97" w:rsidRPr="006C542F">
        <w:rPr>
          <w:sz w:val="24"/>
        </w:rPr>
        <w:t xml:space="preserve"> </w:t>
      </w:r>
      <w:r w:rsidR="00334E7F" w:rsidRPr="006C542F">
        <w:rPr>
          <w:sz w:val="24"/>
        </w:rPr>
        <w:t xml:space="preserve">quantitative reasoning abilities of </w:t>
      </w:r>
    </w:p>
    <w:p w:rsidR="00F93B97" w:rsidRPr="006C542F" w:rsidRDefault="00334E7F" w:rsidP="006C542F">
      <w:pPr>
        <w:pStyle w:val="ListParagraph"/>
        <w:numPr>
          <w:ilvl w:val="1"/>
          <w:numId w:val="13"/>
        </w:numPr>
        <w:shd w:val="clear" w:color="auto" w:fill="FFFFFF" w:themeFill="background1"/>
        <w:tabs>
          <w:tab w:val="left" w:pos="180"/>
          <w:tab w:val="left" w:pos="900"/>
        </w:tabs>
        <w:spacing w:after="0" w:line="240" w:lineRule="auto"/>
        <w:jc w:val="both"/>
        <w:rPr>
          <w:sz w:val="24"/>
        </w:rPr>
      </w:pPr>
      <w:r w:rsidRPr="006C542F">
        <w:rPr>
          <w:sz w:val="24"/>
        </w:rPr>
        <w:t xml:space="preserve">seniors and incoming </w:t>
      </w:r>
      <w:r w:rsidR="005043A3" w:rsidRPr="006C542F">
        <w:rPr>
          <w:sz w:val="24"/>
        </w:rPr>
        <w:t>first year and transfer students</w:t>
      </w:r>
    </w:p>
    <w:p w:rsidR="00334E7F" w:rsidRDefault="00F93B97" w:rsidP="00392DB4">
      <w:pPr>
        <w:pStyle w:val="ListParagraph"/>
        <w:numPr>
          <w:ilvl w:val="1"/>
          <w:numId w:val="13"/>
        </w:numPr>
        <w:shd w:val="clear" w:color="auto" w:fill="FFFFFF" w:themeFill="background1"/>
        <w:tabs>
          <w:tab w:val="left" w:pos="180"/>
          <w:tab w:val="left" w:pos="900"/>
        </w:tabs>
        <w:spacing w:after="0" w:line="240" w:lineRule="auto"/>
        <w:jc w:val="both"/>
        <w:rPr>
          <w:sz w:val="24"/>
        </w:rPr>
      </w:pPr>
      <w:r w:rsidRPr="006A7200">
        <w:rPr>
          <w:sz w:val="24"/>
        </w:rPr>
        <w:t>students completing and entering Westmont QAR courses</w:t>
      </w:r>
    </w:p>
    <w:p w:rsidR="0099260C" w:rsidRPr="0099260C" w:rsidRDefault="0099260C" w:rsidP="0099260C">
      <w:pPr>
        <w:shd w:val="clear" w:color="auto" w:fill="FFFFFF" w:themeFill="background1"/>
        <w:tabs>
          <w:tab w:val="left" w:pos="180"/>
          <w:tab w:val="left" w:pos="720"/>
        </w:tabs>
        <w:spacing w:after="0" w:line="240" w:lineRule="auto"/>
        <w:ind w:left="720"/>
        <w:jc w:val="both"/>
        <w:rPr>
          <w:sz w:val="24"/>
        </w:rPr>
      </w:pPr>
      <w:r>
        <w:rPr>
          <w:sz w:val="24"/>
        </w:rPr>
        <w:t>The QLRA test was implemented on Westmont computer systems in the summer of 2015 and administered to incoming students in August and September 2015, students in QAR GE courses in September and December 2015, and seniors in January 2016.  The data for i</w:t>
      </w:r>
      <w:r w:rsidR="00EE7216">
        <w:rPr>
          <w:sz w:val="24"/>
        </w:rPr>
        <w:t>ncoming students and seniors have</w:t>
      </w:r>
      <w:r>
        <w:rPr>
          <w:sz w:val="24"/>
        </w:rPr>
        <w:t xml:space="preserve"> been compiled while that for pre- and post- QAR GE course testing is still being processed.</w:t>
      </w:r>
    </w:p>
    <w:p w:rsidR="006A7200" w:rsidRPr="006A7200" w:rsidRDefault="006A7200" w:rsidP="006A7200">
      <w:pPr>
        <w:shd w:val="clear" w:color="auto" w:fill="FFFFFF" w:themeFill="background1"/>
        <w:tabs>
          <w:tab w:val="left" w:pos="180"/>
          <w:tab w:val="left" w:pos="900"/>
        </w:tabs>
        <w:spacing w:after="0" w:line="240" w:lineRule="auto"/>
        <w:ind w:left="1080"/>
        <w:jc w:val="both"/>
        <w:rPr>
          <w:sz w:val="2"/>
          <w:szCs w:val="2"/>
        </w:rPr>
      </w:pPr>
    </w:p>
    <w:p w:rsidR="00334E7F" w:rsidRDefault="005043A3" w:rsidP="006C542F">
      <w:pPr>
        <w:pStyle w:val="ListParagraph"/>
        <w:numPr>
          <w:ilvl w:val="0"/>
          <w:numId w:val="13"/>
        </w:numPr>
        <w:shd w:val="clear" w:color="auto" w:fill="FFFFFF" w:themeFill="background1"/>
        <w:tabs>
          <w:tab w:val="left" w:pos="180"/>
          <w:tab w:val="left" w:pos="900"/>
        </w:tabs>
        <w:spacing w:after="0" w:line="240" w:lineRule="auto"/>
        <w:jc w:val="both"/>
        <w:rPr>
          <w:sz w:val="24"/>
        </w:rPr>
      </w:pPr>
      <w:r w:rsidRPr="006C542F">
        <w:rPr>
          <w:sz w:val="24"/>
        </w:rPr>
        <w:t>Assess how a Westmont education impacts students’ perspectives on quantitative reasoning by comparing senior and incoming first year and transfer students</w:t>
      </w:r>
      <w:r w:rsidR="00F93B97" w:rsidRPr="006C542F">
        <w:rPr>
          <w:sz w:val="24"/>
        </w:rPr>
        <w:t>’ attitudes towards quantitative reasoning as assessed by the supplemental questi</w:t>
      </w:r>
      <w:r w:rsidR="006A7200">
        <w:rPr>
          <w:sz w:val="24"/>
        </w:rPr>
        <w:t>ons on the QLRA test.</w:t>
      </w:r>
      <w:r w:rsidR="0099260C">
        <w:rPr>
          <w:sz w:val="24"/>
        </w:rPr>
        <w:t xml:space="preserve">  As indicated under point 2 above, the data for i</w:t>
      </w:r>
      <w:r w:rsidR="00EE7216">
        <w:rPr>
          <w:sz w:val="24"/>
        </w:rPr>
        <w:t>ncoming students and seniors have</w:t>
      </w:r>
      <w:r w:rsidR="0099260C">
        <w:rPr>
          <w:sz w:val="24"/>
        </w:rPr>
        <w:t xml:space="preserve"> been compiled while pre- and post- QAR GE course data is still being processed.</w:t>
      </w:r>
    </w:p>
    <w:p w:rsidR="006B0CBE" w:rsidRPr="006B0CBE" w:rsidRDefault="006B0CBE" w:rsidP="006B0CBE">
      <w:pPr>
        <w:shd w:val="clear" w:color="auto" w:fill="FFFFFF" w:themeFill="background1"/>
        <w:tabs>
          <w:tab w:val="left" w:pos="180"/>
          <w:tab w:val="left" w:pos="900"/>
        </w:tabs>
        <w:spacing w:after="0" w:line="240" w:lineRule="auto"/>
        <w:jc w:val="both"/>
        <w:rPr>
          <w:sz w:val="24"/>
        </w:rPr>
      </w:pPr>
      <w:r>
        <w:rPr>
          <w:sz w:val="24"/>
        </w:rPr>
        <w:t>Our preliminary findings have been reported to the GE committee, academic senate, and full faculty.  Once the data collection and processing is complete we anticipate discussing our findings with the GE committee, fa</w:t>
      </w:r>
      <w:r w:rsidR="00EE7216">
        <w:rPr>
          <w:sz w:val="24"/>
        </w:rPr>
        <w:t>culty teaching QAR GE courses, Academic S</w:t>
      </w:r>
      <w:r>
        <w:rPr>
          <w:sz w:val="24"/>
        </w:rPr>
        <w:t>enate, and full faculty in order to develop workable recommendations for improving our efforts towards achieving the QL ILO and QAR GELO.</w:t>
      </w:r>
    </w:p>
    <w:p w:rsidR="006B0CBE" w:rsidRPr="006C542F" w:rsidRDefault="006B0CBE" w:rsidP="006C542F">
      <w:pPr>
        <w:shd w:val="clear" w:color="auto" w:fill="FFFFFF" w:themeFill="background1"/>
        <w:tabs>
          <w:tab w:val="left" w:pos="450"/>
        </w:tabs>
        <w:spacing w:after="0" w:line="240" w:lineRule="auto"/>
        <w:jc w:val="both"/>
        <w:rPr>
          <w:rFonts w:ascii="Calibri" w:hAnsi="Calibri" w:cs="Calibri"/>
          <w:sz w:val="20"/>
          <w:szCs w:val="24"/>
        </w:rPr>
      </w:pPr>
    </w:p>
    <w:p w:rsidR="00EE031A" w:rsidRDefault="006B0CBE" w:rsidP="006C542F">
      <w:pPr>
        <w:shd w:val="clear" w:color="auto" w:fill="FFFFFF" w:themeFill="background1"/>
        <w:tabs>
          <w:tab w:val="left" w:pos="180"/>
          <w:tab w:val="left" w:pos="900"/>
        </w:tabs>
        <w:spacing w:after="0" w:line="240" w:lineRule="auto"/>
        <w:jc w:val="both"/>
        <w:rPr>
          <w:b/>
          <w:sz w:val="24"/>
        </w:rPr>
      </w:pPr>
      <w:r>
        <w:rPr>
          <w:b/>
          <w:sz w:val="24"/>
        </w:rPr>
        <w:t>What have we learned so far</w:t>
      </w:r>
      <w:r w:rsidR="00151073">
        <w:rPr>
          <w:b/>
          <w:sz w:val="24"/>
        </w:rPr>
        <w:t xml:space="preserve"> and how have we attempted to close the loop</w:t>
      </w:r>
      <w:r w:rsidR="00EE031A" w:rsidRPr="00EE031A">
        <w:rPr>
          <w:b/>
          <w:sz w:val="24"/>
        </w:rPr>
        <w:t>?</w:t>
      </w:r>
    </w:p>
    <w:p w:rsidR="00151073" w:rsidRPr="00151073" w:rsidRDefault="00151073" w:rsidP="00CB45EE">
      <w:pPr>
        <w:tabs>
          <w:tab w:val="left" w:pos="180"/>
          <w:tab w:val="left" w:pos="900"/>
        </w:tabs>
        <w:spacing w:after="0" w:line="240" w:lineRule="auto"/>
        <w:jc w:val="both"/>
        <w:rPr>
          <w:sz w:val="8"/>
        </w:rPr>
      </w:pPr>
      <w:r w:rsidRPr="00151073">
        <w:rPr>
          <w:sz w:val="24"/>
        </w:rPr>
        <w:t xml:space="preserve">Documentation of our detailed findings is available </w:t>
      </w:r>
      <w:r w:rsidR="00A404A3">
        <w:rPr>
          <w:sz w:val="24"/>
        </w:rPr>
        <w:t>by request.</w:t>
      </w:r>
      <w:bookmarkStart w:id="0" w:name="_GoBack"/>
      <w:bookmarkEnd w:id="0"/>
      <w:r w:rsidRPr="00151073">
        <w:rPr>
          <w:sz w:val="24"/>
        </w:rPr>
        <w:t xml:space="preserve"> The following is a summary of our most important findings and actions so far.</w:t>
      </w:r>
      <w:r w:rsidR="005A26BE">
        <w:rPr>
          <w:sz w:val="24"/>
        </w:rPr>
        <w:t xml:space="preserve">  Note, however, that since this assessment is in-progress we </w:t>
      </w:r>
      <w:r w:rsidR="008A18AC">
        <w:rPr>
          <w:sz w:val="24"/>
        </w:rPr>
        <w:t xml:space="preserve">still </w:t>
      </w:r>
      <w:r w:rsidR="005A26BE">
        <w:rPr>
          <w:sz w:val="24"/>
        </w:rPr>
        <w:t xml:space="preserve">have </w:t>
      </w:r>
      <w:r w:rsidR="008A18AC">
        <w:rPr>
          <w:sz w:val="24"/>
        </w:rPr>
        <w:t>some</w:t>
      </w:r>
      <w:r w:rsidR="005A26BE">
        <w:rPr>
          <w:sz w:val="24"/>
        </w:rPr>
        <w:t xml:space="preserve"> closing the loop activities</w:t>
      </w:r>
      <w:r w:rsidR="008A18AC">
        <w:rPr>
          <w:sz w:val="24"/>
        </w:rPr>
        <w:t xml:space="preserve"> to complete</w:t>
      </w:r>
      <w:r w:rsidR="005A26BE">
        <w:rPr>
          <w:sz w:val="24"/>
        </w:rPr>
        <w:t>.</w:t>
      </w:r>
    </w:p>
    <w:p w:rsidR="00151073" w:rsidRDefault="00151073" w:rsidP="00151073">
      <w:pPr>
        <w:pStyle w:val="ListParagraph"/>
        <w:numPr>
          <w:ilvl w:val="0"/>
          <w:numId w:val="15"/>
        </w:numPr>
        <w:tabs>
          <w:tab w:val="left" w:pos="180"/>
          <w:tab w:val="left" w:pos="720"/>
        </w:tabs>
        <w:spacing w:after="0" w:line="240" w:lineRule="auto"/>
        <w:ind w:left="720"/>
        <w:jc w:val="both"/>
        <w:rPr>
          <w:sz w:val="24"/>
        </w:rPr>
      </w:pPr>
      <w:r>
        <w:rPr>
          <w:sz w:val="24"/>
        </w:rPr>
        <w:t xml:space="preserve">Discussions among the instructors of QAR courses and comparison of the existing GELO with the literature on quantitative literacy education, suggested that our pre-2015 QAR GE Learning Outcome </w:t>
      </w:r>
      <w:r>
        <w:rPr>
          <w:sz w:val="24"/>
        </w:rPr>
        <w:lastRenderedPageBreak/>
        <w:t>(GELO) and course certification criteria did not adequately emphasize the use of quantitative reasoning as a problem-solving tool.  In response the QAR GELO and certification criteria were modified in the spring of 2015 to better emphasize our desire that students grow in their ability to employ quantitative literacy in problem solving applications</w:t>
      </w:r>
      <w:r w:rsidR="00F93B97">
        <w:rPr>
          <w:sz w:val="24"/>
        </w:rPr>
        <w:t>.</w:t>
      </w:r>
    </w:p>
    <w:p w:rsidR="00151073" w:rsidRDefault="00151073" w:rsidP="00151073">
      <w:pPr>
        <w:pStyle w:val="ListParagraph"/>
        <w:numPr>
          <w:ilvl w:val="0"/>
          <w:numId w:val="15"/>
        </w:numPr>
        <w:tabs>
          <w:tab w:val="left" w:pos="180"/>
          <w:tab w:val="left" w:pos="720"/>
        </w:tabs>
        <w:spacing w:after="0" w:line="240" w:lineRule="auto"/>
        <w:ind w:left="720"/>
        <w:jc w:val="both"/>
        <w:rPr>
          <w:sz w:val="24"/>
        </w:rPr>
      </w:pPr>
      <w:r>
        <w:rPr>
          <w:sz w:val="24"/>
        </w:rPr>
        <w:t>We currently offer an extensive range of QAR courses</w:t>
      </w:r>
      <w:r w:rsidRPr="00151073">
        <w:rPr>
          <w:sz w:val="24"/>
        </w:rPr>
        <w:t xml:space="preserve"> among the lower division science, computer science and math courses but relatively few in the humanities and social sciences, partly because these students either take the math statistics course or meet the GE through an elective.  We also learned that there are few upper division QAR courses.</w:t>
      </w:r>
      <w:r>
        <w:rPr>
          <w:sz w:val="24"/>
        </w:rPr>
        <w:t xml:space="preserve">  </w:t>
      </w:r>
    </w:p>
    <w:p w:rsidR="00151073" w:rsidRDefault="00151073" w:rsidP="00151073">
      <w:pPr>
        <w:pStyle w:val="ListParagraph"/>
        <w:numPr>
          <w:ilvl w:val="0"/>
          <w:numId w:val="15"/>
        </w:numPr>
        <w:tabs>
          <w:tab w:val="left" w:pos="180"/>
          <w:tab w:val="left" w:pos="720"/>
        </w:tabs>
        <w:spacing w:after="0" w:line="240" w:lineRule="auto"/>
        <w:ind w:left="720"/>
        <w:jc w:val="both"/>
        <w:rPr>
          <w:sz w:val="24"/>
        </w:rPr>
      </w:pPr>
      <w:r>
        <w:rPr>
          <w:sz w:val="24"/>
        </w:rPr>
        <w:t>A review of how our 2015 graduates met the QAR GE requirement indicated that m</w:t>
      </w:r>
      <w:r w:rsidRPr="00151073">
        <w:rPr>
          <w:sz w:val="24"/>
        </w:rPr>
        <w:t xml:space="preserve">ost </w:t>
      </w:r>
      <w:r>
        <w:rPr>
          <w:sz w:val="24"/>
        </w:rPr>
        <w:t xml:space="preserve">Westmont </w:t>
      </w:r>
      <w:r w:rsidR="000E0DC2">
        <w:rPr>
          <w:sz w:val="24"/>
        </w:rPr>
        <w:t>students</w:t>
      </w:r>
      <w:r w:rsidRPr="00151073">
        <w:rPr>
          <w:sz w:val="24"/>
        </w:rPr>
        <w:t xml:space="preserve"> meet the QAR GE requirement through a Westmont course</w:t>
      </w:r>
      <w:r w:rsidR="000E0DC2">
        <w:rPr>
          <w:sz w:val="24"/>
        </w:rPr>
        <w:t xml:space="preserve"> (85.5%) or AP credit (4.5%)</w:t>
      </w:r>
      <w:r w:rsidRPr="00151073">
        <w:rPr>
          <w:sz w:val="24"/>
        </w:rPr>
        <w:t xml:space="preserve">.  In addition, 38% of students meet the QAR GE requirement </w:t>
      </w:r>
      <w:r w:rsidR="005A26BE">
        <w:rPr>
          <w:sz w:val="24"/>
        </w:rPr>
        <w:t>through a major-required course and 62% through an elective course.</w:t>
      </w:r>
      <w:r w:rsidR="007A4D3E">
        <w:rPr>
          <w:sz w:val="24"/>
        </w:rPr>
        <w:t xml:space="preserve">  The most popular Westmont elective QAR courses used to meet the QAR requirement were in the physical sciences and computer science (e.g. PHS-007 (20.6%), PHS-011 (15.87%), CS-005 (15.87%), and PHY-017 (12.7%)).</w:t>
      </w:r>
    </w:p>
    <w:p w:rsidR="00151073" w:rsidRDefault="00151073" w:rsidP="00151073">
      <w:pPr>
        <w:pStyle w:val="ListParagraph"/>
        <w:numPr>
          <w:ilvl w:val="0"/>
          <w:numId w:val="15"/>
        </w:numPr>
        <w:tabs>
          <w:tab w:val="left" w:pos="180"/>
          <w:tab w:val="left" w:pos="720"/>
        </w:tabs>
        <w:spacing w:after="0" w:line="240" w:lineRule="auto"/>
        <w:ind w:left="720"/>
        <w:jc w:val="both"/>
        <w:rPr>
          <w:sz w:val="24"/>
        </w:rPr>
      </w:pPr>
      <w:r>
        <w:rPr>
          <w:sz w:val="24"/>
        </w:rPr>
        <w:t>Our review of the syllabi of fall 2015 courses meeting the QAR GE requirement indicated</w:t>
      </w:r>
      <w:r w:rsidRPr="00151073">
        <w:rPr>
          <w:sz w:val="24"/>
        </w:rPr>
        <w:t xml:space="preserve"> a high degree of instructor </w:t>
      </w:r>
      <w:r>
        <w:rPr>
          <w:sz w:val="24"/>
        </w:rPr>
        <w:t>awareness and appreciation</w:t>
      </w:r>
      <w:r w:rsidRPr="00151073">
        <w:rPr>
          <w:sz w:val="24"/>
        </w:rPr>
        <w:t xml:space="preserve"> for the QAR GE category, although there is room for improvement in terms of our expectations for how effectively instructors explain how their course meets the QAR GE certification criteria, especially with respect to assessing quantitative models as tools in the natural and social sciences.</w:t>
      </w:r>
    </w:p>
    <w:p w:rsidR="000E0DC2" w:rsidRDefault="00151073" w:rsidP="000E0DC2">
      <w:pPr>
        <w:pStyle w:val="ListParagraph"/>
        <w:numPr>
          <w:ilvl w:val="0"/>
          <w:numId w:val="15"/>
        </w:numPr>
        <w:tabs>
          <w:tab w:val="left" w:pos="180"/>
          <w:tab w:val="left" w:pos="720"/>
        </w:tabs>
        <w:spacing w:after="0" w:line="240" w:lineRule="auto"/>
        <w:ind w:left="720"/>
        <w:jc w:val="both"/>
        <w:rPr>
          <w:sz w:val="24"/>
        </w:rPr>
      </w:pPr>
      <w:r w:rsidRPr="00151073">
        <w:rPr>
          <w:sz w:val="24"/>
        </w:rPr>
        <w:t xml:space="preserve">A review of </w:t>
      </w:r>
      <w:r>
        <w:rPr>
          <w:sz w:val="24"/>
        </w:rPr>
        <w:t xml:space="preserve">our students’ responses to the NSSE questions dealing with QL indicate that </w:t>
      </w:r>
      <w:r w:rsidRPr="00151073">
        <w:rPr>
          <w:sz w:val="24"/>
        </w:rPr>
        <w:t>Westmont students perceive themselves to engage in quantitative reasoning about as often as other CCCU students and as often as or slightly less often than their peers at other California and US in</w:t>
      </w:r>
      <w:r w:rsidR="000E0DC2">
        <w:rPr>
          <w:sz w:val="24"/>
        </w:rPr>
        <w:t>stitutions.</w:t>
      </w:r>
    </w:p>
    <w:p w:rsidR="000E0DC2" w:rsidRDefault="007A4D3E" w:rsidP="000E0DC2">
      <w:pPr>
        <w:pStyle w:val="ListParagraph"/>
        <w:numPr>
          <w:ilvl w:val="0"/>
          <w:numId w:val="15"/>
        </w:numPr>
        <w:tabs>
          <w:tab w:val="left" w:pos="180"/>
          <w:tab w:val="left" w:pos="720"/>
        </w:tabs>
        <w:spacing w:after="0" w:line="240" w:lineRule="auto"/>
        <w:ind w:left="720"/>
        <w:jc w:val="both"/>
        <w:rPr>
          <w:sz w:val="24"/>
        </w:rPr>
      </w:pPr>
      <w:r>
        <w:rPr>
          <w:noProof/>
        </w:rPr>
        <mc:AlternateContent>
          <mc:Choice Requires="wps">
            <w:drawing>
              <wp:anchor distT="0" distB="0" distL="114300" distR="114300" simplePos="0" relativeHeight="251660288" behindDoc="0" locked="0" layoutInCell="1" allowOverlap="1" wp14:anchorId="13E8A4C2" wp14:editId="5F0571B4">
                <wp:simplePos x="0" y="0"/>
                <wp:positionH relativeFrom="column">
                  <wp:posOffset>2651125</wp:posOffset>
                </wp:positionH>
                <wp:positionV relativeFrom="paragraph">
                  <wp:posOffset>2656840</wp:posOffset>
                </wp:positionV>
                <wp:extent cx="4378960" cy="635"/>
                <wp:effectExtent l="0" t="0" r="2540" b="0"/>
                <wp:wrapSquare wrapText="bothSides"/>
                <wp:docPr id="1" name="Text Box 1"/>
                <wp:cNvGraphicFramePr/>
                <a:graphic xmlns:a="http://schemas.openxmlformats.org/drawingml/2006/main">
                  <a:graphicData uri="http://schemas.microsoft.com/office/word/2010/wordprocessingShape">
                    <wps:wsp>
                      <wps:cNvSpPr txBox="1"/>
                      <wps:spPr>
                        <a:xfrm>
                          <a:off x="0" y="0"/>
                          <a:ext cx="4378960" cy="635"/>
                        </a:xfrm>
                        <a:prstGeom prst="rect">
                          <a:avLst/>
                        </a:prstGeom>
                        <a:solidFill>
                          <a:prstClr val="white"/>
                        </a:solidFill>
                        <a:ln>
                          <a:noFill/>
                        </a:ln>
                        <a:effectLst/>
                      </wps:spPr>
                      <wps:txbx>
                        <w:txbxContent>
                          <w:p w:rsidR="007A4D3E" w:rsidRPr="007A4D3E" w:rsidRDefault="007A4D3E" w:rsidP="007A4D3E">
                            <w:pPr>
                              <w:pStyle w:val="Caption"/>
                              <w:rPr>
                                <w:noProof/>
                                <w:color w:val="auto"/>
                              </w:rPr>
                            </w:pPr>
                            <w:proofErr w:type="gramStart"/>
                            <w:r w:rsidRPr="007A4D3E">
                              <w:rPr>
                                <w:color w:val="auto"/>
                              </w:rPr>
                              <w:t xml:space="preserve">Figure </w:t>
                            </w:r>
                            <w:r w:rsidRPr="007A4D3E">
                              <w:rPr>
                                <w:color w:val="auto"/>
                              </w:rPr>
                              <w:fldChar w:fldCharType="begin"/>
                            </w:r>
                            <w:r w:rsidRPr="007A4D3E">
                              <w:rPr>
                                <w:color w:val="auto"/>
                              </w:rPr>
                              <w:instrText xml:space="preserve"> SEQ Figure \* ARABIC </w:instrText>
                            </w:r>
                            <w:r w:rsidRPr="007A4D3E">
                              <w:rPr>
                                <w:color w:val="auto"/>
                              </w:rPr>
                              <w:fldChar w:fldCharType="separate"/>
                            </w:r>
                            <w:r w:rsidR="00253F6B">
                              <w:rPr>
                                <w:noProof/>
                                <w:color w:val="auto"/>
                              </w:rPr>
                              <w:t>1</w:t>
                            </w:r>
                            <w:r w:rsidRPr="007A4D3E">
                              <w:rPr>
                                <w:color w:val="auto"/>
                              </w:rPr>
                              <w:fldChar w:fldCharType="end"/>
                            </w:r>
                            <w:r w:rsidRPr="007A4D3E">
                              <w:rPr>
                                <w:color w:val="auto"/>
                              </w:rPr>
                              <w:t>.</w:t>
                            </w:r>
                            <w:proofErr w:type="gramEnd"/>
                            <w:r w:rsidRPr="007A4D3E">
                              <w:rPr>
                                <w:color w:val="auto"/>
                              </w:rPr>
                              <w:t xml:space="preserve">  Comparison of incoming student and seniors' QLRA score distribution.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8.75pt;margin-top:209.2pt;width:344.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" stroked="f">
                <v:textbox style="mso-fit-shape-to-text:t" inset="0,0,0,0">
                  <w:txbxContent>
                    <w:p w:rsidR="007A4D3E" w:rsidRPr="007A4D3E" w:rsidRDefault="007A4D3E" w:rsidP="007A4D3E">
                      <w:pPr>
                        <w:pStyle w:val="Caption"/>
                        <w:rPr>
                          <w:noProof/>
                          <w:color w:val="auto"/>
                        </w:rPr>
                      </w:pPr>
                      <w:proofErr w:type="gramStart"/>
                      <w:r w:rsidRPr="007A4D3E">
                        <w:rPr>
                          <w:color w:val="auto"/>
                        </w:rPr>
                        <w:t xml:space="preserve">Figure </w:t>
                      </w:r>
                      <w:proofErr w:type="gramEnd"/>
                      <w:r w:rsidRPr="007A4D3E">
                        <w:rPr>
                          <w:color w:val="auto"/>
                        </w:rPr>
                        <w:fldChar w:fldCharType="begin"/>
                      </w:r>
                      <w:r w:rsidRPr="007A4D3E">
                        <w:rPr>
                          <w:color w:val="auto"/>
                        </w:rPr>
                        <w:instrText xml:space="preserve"> SEQ Figure \* ARABIC </w:instrText>
                      </w:r>
                      <w:r w:rsidRPr="007A4D3E">
                        <w:rPr>
                          <w:color w:val="auto"/>
                        </w:rPr>
                        <w:fldChar w:fldCharType="separate"/>
                      </w:r>
                      <w:r w:rsidR="00253F6B">
                        <w:rPr>
                          <w:noProof/>
                          <w:color w:val="auto"/>
                        </w:rPr>
                        <w:t>1</w:t>
                      </w:r>
                      <w:r w:rsidRPr="007A4D3E">
                        <w:rPr>
                          <w:color w:val="auto"/>
                        </w:rPr>
                        <w:fldChar w:fldCharType="end"/>
                      </w:r>
                      <w:proofErr w:type="gramStart"/>
                      <w:r w:rsidRPr="007A4D3E">
                        <w:rPr>
                          <w:color w:val="auto"/>
                        </w:rPr>
                        <w:t>.</w:t>
                      </w:r>
                      <w:proofErr w:type="gramEnd"/>
                      <w:r w:rsidRPr="007A4D3E">
                        <w:rPr>
                          <w:color w:val="auto"/>
                        </w:rPr>
                        <w:t xml:space="preserve">  Comparison of incoming student and seniors' QLRA score distribution.</w:t>
                      </w:r>
                    </w:p>
                  </w:txbxContent>
                </v:textbox>
                <w10:wrap type="square"/>
              </v:shape>
            </w:pict>
          </mc:Fallback>
        </mc:AlternateContent>
      </w:r>
      <w:r>
        <w:rPr>
          <w:noProof/>
        </w:rPr>
        <w:drawing>
          <wp:anchor distT="0" distB="0" distL="114300" distR="114300" simplePos="0" relativeHeight="251658240" behindDoc="0" locked="0" layoutInCell="1" allowOverlap="1" wp14:anchorId="28E98759" wp14:editId="21FA219F">
            <wp:simplePos x="0" y="0"/>
            <wp:positionH relativeFrom="column">
              <wp:posOffset>2651760</wp:posOffset>
            </wp:positionH>
            <wp:positionV relativeFrom="paragraph">
              <wp:posOffset>44450</wp:posOffset>
            </wp:positionV>
            <wp:extent cx="4378960" cy="2521585"/>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5A26BE">
        <w:rPr>
          <w:sz w:val="24"/>
        </w:rPr>
        <w:t>O</w:t>
      </w:r>
      <w:r w:rsidR="000E0DC2" w:rsidRPr="000E0DC2">
        <w:rPr>
          <w:sz w:val="24"/>
        </w:rPr>
        <w:t xml:space="preserve">ur incoming students’ quantitative literacy abilities </w:t>
      </w:r>
      <w:r w:rsidR="000E0DC2">
        <w:rPr>
          <w:sz w:val="24"/>
        </w:rPr>
        <w:t xml:space="preserve">as assessed by the QLRA </w:t>
      </w:r>
      <w:r>
        <w:rPr>
          <w:sz w:val="24"/>
        </w:rPr>
        <w:t xml:space="preserve">exhibit a </w:t>
      </w:r>
      <w:r w:rsidRPr="00FE4F5E">
        <w:rPr>
          <w:sz w:val="24"/>
        </w:rPr>
        <w:t>bimodal distribution</w:t>
      </w:r>
      <w:r w:rsidRPr="00E14BB9">
        <w:rPr>
          <w:sz w:val="24"/>
        </w:rPr>
        <w:t xml:space="preserve"> with means of 34% (48% of students) and 70% (52% of students</w:t>
      </w:r>
      <w:r>
        <w:rPr>
          <w:sz w:val="24"/>
        </w:rPr>
        <w:t>)</w:t>
      </w:r>
      <w:r w:rsidR="005A26BE">
        <w:rPr>
          <w:sz w:val="24"/>
        </w:rPr>
        <w:t xml:space="preserve"> </w:t>
      </w:r>
      <w:r w:rsidR="005A26BE" w:rsidRPr="007A4D3E">
        <w:rPr>
          <w:sz w:val="24"/>
        </w:rPr>
        <w:t>(Figure 1</w:t>
      </w:r>
      <w:r w:rsidR="005A26BE">
        <w:rPr>
          <w:sz w:val="24"/>
        </w:rPr>
        <w:t>)</w:t>
      </w:r>
      <w:r w:rsidR="000E0DC2" w:rsidRPr="000E0DC2">
        <w:rPr>
          <w:sz w:val="24"/>
        </w:rPr>
        <w:t xml:space="preserve">.  Both the </w:t>
      </w:r>
      <w:r w:rsidR="000E0DC2">
        <w:rPr>
          <w:sz w:val="24"/>
        </w:rPr>
        <w:t>existence of a</w:t>
      </w:r>
      <w:r w:rsidR="000E0DC2" w:rsidRPr="000E0DC2">
        <w:rPr>
          <w:sz w:val="24"/>
        </w:rPr>
        <w:t xml:space="preserve"> lower distribution and the aggregate mean score</w:t>
      </w:r>
      <w:r w:rsidR="000E0DC2">
        <w:rPr>
          <w:sz w:val="24"/>
        </w:rPr>
        <w:t xml:space="preserve"> of </w:t>
      </w:r>
      <w:r w:rsidR="000E0DC2" w:rsidRPr="00E14BB9">
        <w:rPr>
          <w:sz w:val="24"/>
        </w:rPr>
        <w:t>52±2% (</w:t>
      </w:r>
      <w:proofErr w:type="spellStart"/>
      <w:r w:rsidR="000E0DC2" w:rsidRPr="00E14BB9">
        <w:rPr>
          <w:sz w:val="24"/>
        </w:rPr>
        <w:t>e.s.d</w:t>
      </w:r>
      <w:proofErr w:type="spellEnd"/>
      <w:r w:rsidR="000E0DC2" w:rsidRPr="00E14BB9">
        <w:rPr>
          <w:sz w:val="24"/>
        </w:rPr>
        <w:t>. 22%, n = 107)</w:t>
      </w:r>
      <w:r w:rsidR="000E0DC2">
        <w:rPr>
          <w:sz w:val="24"/>
        </w:rPr>
        <w:t xml:space="preserve"> </w:t>
      </w:r>
      <w:r w:rsidR="000E0DC2" w:rsidRPr="000E0DC2">
        <w:rPr>
          <w:sz w:val="24"/>
        </w:rPr>
        <w:t xml:space="preserve"> indicate our student population possesses quantitative literacy and reasoning aptitudes intermediate between those of their peers at selective and non-selective four-year schools.</w:t>
      </w:r>
    </w:p>
    <w:p w:rsidR="000E0DC2" w:rsidRPr="000E0DC2" w:rsidRDefault="005A26BE" w:rsidP="000E0DC2">
      <w:pPr>
        <w:pStyle w:val="ListParagraph"/>
        <w:numPr>
          <w:ilvl w:val="0"/>
          <w:numId w:val="15"/>
        </w:numPr>
        <w:tabs>
          <w:tab w:val="left" w:pos="180"/>
          <w:tab w:val="left" w:pos="720"/>
        </w:tabs>
        <w:spacing w:after="0" w:line="240" w:lineRule="auto"/>
        <w:ind w:left="720"/>
        <w:jc w:val="both"/>
        <w:rPr>
          <w:sz w:val="24"/>
        </w:rPr>
      </w:pPr>
      <w:r>
        <w:rPr>
          <w:sz w:val="24"/>
        </w:rPr>
        <w:t>O</w:t>
      </w:r>
      <w:r w:rsidR="000E0DC2">
        <w:rPr>
          <w:sz w:val="24"/>
        </w:rPr>
        <w:t>ur i</w:t>
      </w:r>
      <w:r w:rsidR="000E0DC2" w:rsidRPr="000E0DC2">
        <w:rPr>
          <w:sz w:val="24"/>
        </w:rPr>
        <w:t xml:space="preserve">ncoming students exhibit greater proficiency with general skills like rounding but </w:t>
      </w:r>
      <w:r w:rsidR="008A18AC">
        <w:rPr>
          <w:sz w:val="24"/>
        </w:rPr>
        <w:t xml:space="preserve">they do </w:t>
      </w:r>
      <w:r w:rsidR="000E0DC2" w:rsidRPr="000E0DC2">
        <w:rPr>
          <w:sz w:val="24"/>
        </w:rPr>
        <w:t>more poorly on specific skills like working with percentag</w:t>
      </w:r>
      <w:r>
        <w:rPr>
          <w:sz w:val="24"/>
        </w:rPr>
        <w:t xml:space="preserve">es, reading graphs, and </w:t>
      </w:r>
      <w:r w:rsidRPr="007A4D3E">
        <w:rPr>
          <w:sz w:val="24"/>
        </w:rPr>
        <w:t>algebra (Figure 2).</w:t>
      </w:r>
    </w:p>
    <w:p w:rsidR="000E0DC2" w:rsidRPr="008A18AC" w:rsidRDefault="000E0DC2" w:rsidP="000E0DC2">
      <w:pPr>
        <w:pStyle w:val="ListParagraph"/>
        <w:numPr>
          <w:ilvl w:val="0"/>
          <w:numId w:val="15"/>
        </w:numPr>
        <w:tabs>
          <w:tab w:val="left" w:pos="180"/>
          <w:tab w:val="left" w:pos="720"/>
        </w:tabs>
        <w:spacing w:after="0" w:line="240" w:lineRule="auto"/>
        <w:ind w:left="720"/>
        <w:jc w:val="both"/>
        <w:rPr>
          <w:sz w:val="24"/>
        </w:rPr>
      </w:pPr>
      <w:r w:rsidRPr="000E0DC2">
        <w:rPr>
          <w:sz w:val="24"/>
          <w:szCs w:val="24"/>
        </w:rPr>
        <w:t>Overall, seniors did considerably better than incoming students</w:t>
      </w:r>
      <w:r>
        <w:rPr>
          <w:sz w:val="24"/>
          <w:szCs w:val="24"/>
        </w:rPr>
        <w:t xml:space="preserve"> on the QLRA</w:t>
      </w:r>
      <w:r w:rsidR="005A26BE">
        <w:rPr>
          <w:sz w:val="24"/>
          <w:szCs w:val="24"/>
        </w:rPr>
        <w:t xml:space="preserve">, with a mean score of </w:t>
      </w:r>
      <w:r w:rsidR="005A26BE" w:rsidRPr="006C542F">
        <w:rPr>
          <w:bCs/>
          <w:sz w:val="24"/>
          <w:szCs w:val="24"/>
        </w:rPr>
        <w:t>64± 1 % (</w:t>
      </w:r>
      <w:proofErr w:type="spellStart"/>
      <w:r w:rsidR="005A26BE" w:rsidRPr="006C542F">
        <w:rPr>
          <w:bCs/>
          <w:sz w:val="24"/>
          <w:szCs w:val="24"/>
        </w:rPr>
        <w:t>e.s.d</w:t>
      </w:r>
      <w:proofErr w:type="spellEnd"/>
      <w:r w:rsidR="005A26BE" w:rsidRPr="006C542F">
        <w:rPr>
          <w:bCs/>
          <w:sz w:val="24"/>
          <w:szCs w:val="24"/>
        </w:rPr>
        <w:t xml:space="preserve">. = 24%, n = 81) </w:t>
      </w:r>
      <w:r w:rsidRPr="000E0DC2">
        <w:rPr>
          <w:bCs/>
          <w:sz w:val="24"/>
          <w:szCs w:val="24"/>
        </w:rPr>
        <w:t>and improvements in most skill categories.  The largest increases occurred for students’ ability to use algebra, interpret pie charts, understand verbally represented problems, work with percentages, interpret tables, and engage in proportional reasoning.  A small decrease was observed for stud</w:t>
      </w:r>
      <w:r w:rsidR="005A26BE">
        <w:rPr>
          <w:bCs/>
          <w:sz w:val="24"/>
          <w:szCs w:val="24"/>
        </w:rPr>
        <w:t>ents’ ability to use histograms.</w:t>
      </w:r>
    </w:p>
    <w:p w:rsidR="008A18AC" w:rsidRPr="008A18AC" w:rsidRDefault="001D7F75" w:rsidP="008A18AC">
      <w:pPr>
        <w:pStyle w:val="ListParagraph"/>
        <w:numPr>
          <w:ilvl w:val="0"/>
          <w:numId w:val="15"/>
        </w:numPr>
        <w:tabs>
          <w:tab w:val="left" w:pos="180"/>
          <w:tab w:val="left" w:pos="720"/>
        </w:tabs>
        <w:spacing w:after="0" w:line="240" w:lineRule="auto"/>
        <w:ind w:left="720"/>
        <w:jc w:val="both"/>
        <w:rPr>
          <w:sz w:val="24"/>
        </w:rPr>
      </w:pPr>
      <w:r>
        <w:rPr>
          <w:sz w:val="24"/>
        </w:rPr>
        <w:t xml:space="preserve">Our </w:t>
      </w:r>
      <w:r w:rsidR="008A18AC">
        <w:rPr>
          <w:sz w:val="24"/>
        </w:rPr>
        <w:t xml:space="preserve">incoming students and seniors exhibited an overall very positive attitude towards quantitative literacy, with seniors exhibiting a slightly more positive attitude overall and lower rates of disagreement with statements about the importance of quantitative </w:t>
      </w:r>
      <w:r w:rsidR="008A18AC" w:rsidRPr="00253F6B">
        <w:rPr>
          <w:sz w:val="24"/>
        </w:rPr>
        <w:t>reasoning (Figure 3).</w:t>
      </w:r>
    </w:p>
    <w:p w:rsidR="000E0DC2" w:rsidRPr="008A18AC" w:rsidRDefault="00253F6B" w:rsidP="008A18AC">
      <w:pPr>
        <w:pStyle w:val="ListParagraph"/>
        <w:tabs>
          <w:tab w:val="left" w:pos="180"/>
          <w:tab w:val="left" w:pos="720"/>
        </w:tabs>
        <w:spacing w:after="0" w:line="240" w:lineRule="auto"/>
        <w:jc w:val="both"/>
        <w:rPr>
          <w:sz w:val="4"/>
        </w:rPr>
      </w:pPr>
      <w:r>
        <w:rPr>
          <w:noProof/>
        </w:rPr>
        <w:lastRenderedPageBreak/>
        <mc:AlternateContent>
          <mc:Choice Requires="wps">
            <w:drawing>
              <wp:anchor distT="0" distB="0" distL="114300" distR="114300" simplePos="0" relativeHeight="251663360" behindDoc="0" locked="0" layoutInCell="1" allowOverlap="1" wp14:anchorId="384CE464" wp14:editId="78E2AC1D">
                <wp:simplePos x="0" y="0"/>
                <wp:positionH relativeFrom="column">
                  <wp:posOffset>163830</wp:posOffset>
                </wp:positionH>
                <wp:positionV relativeFrom="paragraph">
                  <wp:posOffset>3695700</wp:posOffset>
                </wp:positionV>
                <wp:extent cx="6760210" cy="635"/>
                <wp:effectExtent l="0" t="0" r="2540" b="0"/>
                <wp:wrapSquare wrapText="bothSides"/>
                <wp:docPr id="17" name="Text Box 17"/>
                <wp:cNvGraphicFramePr/>
                <a:graphic xmlns:a="http://schemas.openxmlformats.org/drawingml/2006/main">
                  <a:graphicData uri="http://schemas.microsoft.com/office/word/2010/wordprocessingShape">
                    <wps:wsp>
                      <wps:cNvSpPr txBox="1"/>
                      <wps:spPr>
                        <a:xfrm>
                          <a:off x="0" y="0"/>
                          <a:ext cx="6760210" cy="635"/>
                        </a:xfrm>
                        <a:prstGeom prst="rect">
                          <a:avLst/>
                        </a:prstGeom>
                        <a:solidFill>
                          <a:prstClr val="white"/>
                        </a:solidFill>
                        <a:ln>
                          <a:noFill/>
                        </a:ln>
                        <a:effectLst/>
                      </wps:spPr>
                      <wps:txbx>
                        <w:txbxContent>
                          <w:p w:rsidR="007A4D3E" w:rsidRPr="007A4D3E" w:rsidRDefault="007A4D3E" w:rsidP="007A4D3E">
                            <w:pPr>
                              <w:pStyle w:val="Caption"/>
                              <w:rPr>
                                <w:b w:val="0"/>
                                <w:noProof/>
                                <w:color w:val="auto"/>
                              </w:rPr>
                            </w:pPr>
                            <w:proofErr w:type="gramStart"/>
                            <w:r w:rsidRPr="007A4D3E">
                              <w:rPr>
                                <w:color w:val="auto"/>
                              </w:rPr>
                              <w:t xml:space="preserve">Figure </w:t>
                            </w:r>
                            <w:r w:rsidRPr="007A4D3E">
                              <w:rPr>
                                <w:color w:val="auto"/>
                              </w:rPr>
                              <w:fldChar w:fldCharType="begin"/>
                            </w:r>
                            <w:r w:rsidRPr="007A4D3E">
                              <w:rPr>
                                <w:color w:val="auto"/>
                              </w:rPr>
                              <w:instrText xml:space="preserve"> SEQ Figure \* ARABIC </w:instrText>
                            </w:r>
                            <w:r w:rsidRPr="007A4D3E">
                              <w:rPr>
                                <w:color w:val="auto"/>
                              </w:rPr>
                              <w:fldChar w:fldCharType="separate"/>
                            </w:r>
                            <w:r w:rsidR="00253F6B">
                              <w:rPr>
                                <w:noProof/>
                                <w:color w:val="auto"/>
                              </w:rPr>
                              <w:t>2</w:t>
                            </w:r>
                            <w:r w:rsidRPr="007A4D3E">
                              <w:rPr>
                                <w:color w:val="auto"/>
                              </w:rPr>
                              <w:fldChar w:fldCharType="end"/>
                            </w:r>
                            <w:r w:rsidRPr="007A4D3E">
                              <w:rPr>
                                <w:color w:val="auto"/>
                              </w:rPr>
                              <w:t>.</w:t>
                            </w:r>
                            <w:proofErr w:type="gramEnd"/>
                            <w:r w:rsidRPr="007A4D3E">
                              <w:rPr>
                                <w:color w:val="auto"/>
                              </w:rPr>
                              <w:t xml:space="preserve">  </w:t>
                            </w:r>
                            <w:r w:rsidRPr="007A4D3E">
                              <w:rPr>
                                <w:b w:val="0"/>
                                <w:color w:val="auto"/>
                              </w:rPr>
                              <w:t>Skills exhibited by Westmont seniors and incoming students as assessed by the QLRA test.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12.9pt;margin-top:291pt;width:532.3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" stroked="f">
                <v:textbox style="mso-fit-shape-to-text:t" inset="0,0,0,0">
                  <w:txbxContent>
                    <w:p w:rsidR="007A4D3E" w:rsidRPr="007A4D3E" w:rsidRDefault="007A4D3E" w:rsidP="007A4D3E">
                      <w:pPr>
                        <w:pStyle w:val="Caption"/>
                        <w:rPr>
                          <w:b w:val="0"/>
                          <w:noProof/>
                          <w:color w:val="auto"/>
                        </w:rPr>
                      </w:pPr>
                      <w:proofErr w:type="gramStart"/>
                      <w:r w:rsidRPr="007A4D3E">
                        <w:rPr>
                          <w:color w:val="auto"/>
                        </w:rPr>
                        <w:t xml:space="preserve">Figure </w:t>
                      </w:r>
                      <w:r w:rsidRPr="007A4D3E">
                        <w:rPr>
                          <w:color w:val="auto"/>
                        </w:rPr>
                        <w:fldChar w:fldCharType="begin"/>
                      </w:r>
                      <w:r w:rsidRPr="007A4D3E">
                        <w:rPr>
                          <w:color w:val="auto"/>
                        </w:rPr>
                        <w:instrText xml:space="preserve"> SEQ Figure \* ARABIC </w:instrText>
                      </w:r>
                      <w:r w:rsidRPr="007A4D3E">
                        <w:rPr>
                          <w:color w:val="auto"/>
                        </w:rPr>
                        <w:fldChar w:fldCharType="separate"/>
                      </w:r>
                      <w:r w:rsidR="00253F6B">
                        <w:rPr>
                          <w:noProof/>
                          <w:color w:val="auto"/>
                        </w:rPr>
                        <w:t>2</w:t>
                      </w:r>
                      <w:r w:rsidRPr="007A4D3E">
                        <w:rPr>
                          <w:color w:val="auto"/>
                        </w:rPr>
                        <w:fldChar w:fldCharType="end"/>
                      </w:r>
                      <w:r w:rsidRPr="007A4D3E">
                        <w:rPr>
                          <w:color w:val="auto"/>
                        </w:rPr>
                        <w:t>.</w:t>
                      </w:r>
                      <w:proofErr w:type="gramEnd"/>
                      <w:r w:rsidRPr="007A4D3E">
                        <w:rPr>
                          <w:color w:val="auto"/>
                        </w:rPr>
                        <w:t xml:space="preserve">  </w:t>
                      </w:r>
                      <w:r w:rsidRPr="007A4D3E">
                        <w:rPr>
                          <w:b w:val="0"/>
                          <w:color w:val="auto"/>
                        </w:rPr>
                        <w:t>Skills exhibited by Westmont seniors and incoming students as assessed by the QLRA test.</w:t>
                      </w:r>
                    </w:p>
                  </w:txbxContent>
                </v:textbox>
                <w10:wrap type="square"/>
              </v:shape>
            </w:pict>
          </mc:Fallback>
        </mc:AlternateContent>
      </w:r>
      <w:r>
        <w:rPr>
          <w:noProof/>
        </w:rPr>
        <w:drawing>
          <wp:anchor distT="0" distB="0" distL="114300" distR="114300" simplePos="0" relativeHeight="251661312" behindDoc="0" locked="0" layoutInCell="1" allowOverlap="1" wp14:anchorId="2AF1C1EF" wp14:editId="17A9A8CC">
            <wp:simplePos x="0" y="0"/>
            <wp:positionH relativeFrom="column">
              <wp:posOffset>81280</wp:posOffset>
            </wp:positionH>
            <wp:positionV relativeFrom="paragraph">
              <wp:posOffset>23495</wp:posOffset>
            </wp:positionV>
            <wp:extent cx="6766560" cy="3869055"/>
            <wp:effectExtent l="0" t="0" r="0"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8A18AC" w:rsidRPr="005D456D" w:rsidRDefault="001D7F75" w:rsidP="005D456D">
      <w:pPr>
        <w:pStyle w:val="ListParagraph"/>
        <w:numPr>
          <w:ilvl w:val="0"/>
          <w:numId w:val="15"/>
        </w:numPr>
        <w:tabs>
          <w:tab w:val="left" w:pos="180"/>
          <w:tab w:val="left" w:pos="720"/>
        </w:tabs>
        <w:spacing w:after="0" w:line="240" w:lineRule="auto"/>
        <w:ind w:left="720"/>
        <w:jc w:val="both"/>
        <w:rPr>
          <w:sz w:val="24"/>
        </w:rPr>
      </w:pPr>
      <w:r>
        <w:rPr>
          <w:rFonts w:ascii="Arial" w:hAnsi="Arial" w:cs="Arial"/>
          <w:b/>
          <w:noProof/>
          <w:sz w:val="28"/>
        </w:rPr>
        <w:drawing>
          <wp:anchor distT="0" distB="0" distL="114300" distR="114300" simplePos="0" relativeHeight="251664384" behindDoc="1" locked="0" layoutInCell="1" allowOverlap="1" wp14:anchorId="1D8B712F" wp14:editId="0981C928">
            <wp:simplePos x="0" y="0"/>
            <wp:positionH relativeFrom="column">
              <wp:posOffset>891540</wp:posOffset>
            </wp:positionH>
            <wp:positionV relativeFrom="paragraph">
              <wp:posOffset>1120775</wp:posOffset>
            </wp:positionV>
            <wp:extent cx="5480685" cy="2808605"/>
            <wp:effectExtent l="0" t="0" r="5715" b="0"/>
            <wp:wrapTight wrapText="bothSides">
              <wp:wrapPolygon edited="0">
                <wp:start x="0" y="0"/>
                <wp:lineTo x="0" y="21390"/>
                <wp:lineTo x="21547" y="21390"/>
                <wp:lineTo x="2154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0685" cy="2808605"/>
                    </a:xfrm>
                    <a:prstGeom prst="rect">
                      <a:avLst/>
                    </a:prstGeom>
                    <a:noFill/>
                  </pic:spPr>
                </pic:pic>
              </a:graphicData>
            </a:graphic>
            <wp14:sizeRelH relativeFrom="page">
              <wp14:pctWidth>0</wp14:pctWidth>
            </wp14:sizeRelH>
            <wp14:sizeRelV relativeFrom="page">
              <wp14:pctHeight>0</wp14:pctHeight>
            </wp14:sizeRelV>
          </wp:anchor>
        </w:drawing>
      </w:r>
      <w:r w:rsidR="00392DB4" w:rsidRPr="007A4D3E">
        <w:rPr>
          <w:sz w:val="24"/>
        </w:rPr>
        <w:t>The pre- and post- course data</w:t>
      </w:r>
      <w:r w:rsidR="00EE7216">
        <w:rPr>
          <w:sz w:val="24"/>
        </w:rPr>
        <w:t xml:space="preserve"> for fall 2015 QAR GE courses are</w:t>
      </w:r>
      <w:r w:rsidR="00392DB4" w:rsidRPr="007A4D3E">
        <w:rPr>
          <w:sz w:val="24"/>
        </w:rPr>
        <w:t xml:space="preserve"> still being </w:t>
      </w:r>
      <w:r w:rsidR="00EE7216">
        <w:rPr>
          <w:sz w:val="24"/>
        </w:rPr>
        <w:t>compiled</w:t>
      </w:r>
      <w:r w:rsidR="00392DB4" w:rsidRPr="007A4D3E">
        <w:rPr>
          <w:sz w:val="24"/>
        </w:rPr>
        <w:t>.  Preliminary indications are that students did marginally better after completing a QAR GE course but that the data are marred by a significant number of “randomly</w:t>
      </w:r>
      <w:r w:rsidR="005D456D">
        <w:rPr>
          <w:sz w:val="24"/>
        </w:rPr>
        <w:t xml:space="preserve"> completed” QLRA tests.  M</w:t>
      </w:r>
      <w:r w:rsidR="00392DB4" w:rsidRPr="007A4D3E">
        <w:rPr>
          <w:sz w:val="24"/>
        </w:rPr>
        <w:t>ost likely that this round of testing will serve as the basis for a revise</w:t>
      </w:r>
      <w:r w:rsidR="007A4D3E" w:rsidRPr="007A4D3E">
        <w:rPr>
          <w:sz w:val="24"/>
        </w:rPr>
        <w:t xml:space="preserve">d assessment plan, specifically one which students are asked to complete the post-course QLRA assessment over winter break </w:t>
      </w:r>
      <w:r w:rsidR="00253F6B">
        <w:rPr>
          <w:sz w:val="24"/>
        </w:rPr>
        <w:t xml:space="preserve">instead of </w:t>
      </w:r>
      <w:r w:rsidR="007A4D3E" w:rsidRPr="007A4D3E">
        <w:rPr>
          <w:sz w:val="24"/>
        </w:rPr>
        <w:t>during the busy period at the end of the semester and offered financial incentives for go</w:t>
      </w:r>
      <w:r w:rsidR="00253F6B">
        <w:rPr>
          <w:sz w:val="24"/>
        </w:rPr>
        <w:t>od faith completion of the QLRA</w:t>
      </w:r>
      <w:r w:rsidR="007A4D3E" w:rsidRPr="007A4D3E">
        <w:rPr>
          <w:sz w:val="24"/>
        </w:rPr>
        <w:t>.</w:t>
      </w: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8A18AC" w:rsidP="008A18AC">
      <w:pPr>
        <w:tabs>
          <w:tab w:val="left" w:pos="180"/>
          <w:tab w:val="left" w:pos="720"/>
        </w:tabs>
        <w:spacing w:after="0" w:line="240" w:lineRule="auto"/>
        <w:jc w:val="both"/>
        <w:rPr>
          <w:sz w:val="24"/>
        </w:rPr>
      </w:pPr>
    </w:p>
    <w:p w:rsidR="008A18AC" w:rsidRDefault="005D456D" w:rsidP="008A18AC">
      <w:pPr>
        <w:tabs>
          <w:tab w:val="left" w:pos="180"/>
          <w:tab w:val="left" w:pos="720"/>
        </w:tabs>
        <w:spacing w:after="0" w:line="240" w:lineRule="auto"/>
        <w:jc w:val="both"/>
        <w:rPr>
          <w:sz w:val="24"/>
        </w:rPr>
      </w:pPr>
      <w:r>
        <w:rPr>
          <w:noProof/>
        </w:rPr>
        <mc:AlternateContent>
          <mc:Choice Requires="wps">
            <w:drawing>
              <wp:anchor distT="0" distB="0" distL="114300" distR="114300" simplePos="0" relativeHeight="251666432" behindDoc="0" locked="0" layoutInCell="1" allowOverlap="1" wp14:anchorId="5BA7B5F0" wp14:editId="4BFBA967">
                <wp:simplePos x="0" y="0"/>
                <wp:positionH relativeFrom="column">
                  <wp:posOffset>888365</wp:posOffset>
                </wp:positionH>
                <wp:positionV relativeFrom="paragraph">
                  <wp:posOffset>177800</wp:posOffset>
                </wp:positionV>
                <wp:extent cx="5480685" cy="635"/>
                <wp:effectExtent l="0" t="0" r="5715" b="0"/>
                <wp:wrapTight wrapText="bothSides">
                  <wp:wrapPolygon edited="0">
                    <wp:start x="0" y="0"/>
                    <wp:lineTo x="0" y="20057"/>
                    <wp:lineTo x="21547" y="20057"/>
                    <wp:lineTo x="21547"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5480685" cy="635"/>
                        </a:xfrm>
                        <a:prstGeom prst="rect">
                          <a:avLst/>
                        </a:prstGeom>
                        <a:solidFill>
                          <a:prstClr val="white"/>
                        </a:solidFill>
                        <a:ln>
                          <a:noFill/>
                        </a:ln>
                        <a:effectLst/>
                      </wps:spPr>
                      <wps:txbx>
                        <w:txbxContent>
                          <w:p w:rsidR="00253F6B" w:rsidRPr="00253F6B" w:rsidRDefault="00253F6B" w:rsidP="00253F6B">
                            <w:pPr>
                              <w:pStyle w:val="Caption"/>
                              <w:rPr>
                                <w:rFonts w:ascii="Arial" w:hAnsi="Arial" w:cs="Arial"/>
                                <w:b w:val="0"/>
                                <w:noProof/>
                                <w:color w:val="auto"/>
                                <w:sz w:val="28"/>
                              </w:rPr>
                            </w:pPr>
                            <w:proofErr w:type="gramStart"/>
                            <w:r w:rsidRPr="00253F6B">
                              <w:rPr>
                                <w:color w:val="auto"/>
                              </w:rPr>
                              <w:t xml:space="preserve">Figure </w:t>
                            </w:r>
                            <w:r w:rsidRPr="00253F6B">
                              <w:rPr>
                                <w:color w:val="auto"/>
                              </w:rPr>
                              <w:fldChar w:fldCharType="begin"/>
                            </w:r>
                            <w:r w:rsidRPr="00253F6B">
                              <w:rPr>
                                <w:color w:val="auto"/>
                              </w:rPr>
                              <w:instrText xml:space="preserve"> SEQ Figure \* ARABIC </w:instrText>
                            </w:r>
                            <w:r w:rsidRPr="00253F6B">
                              <w:rPr>
                                <w:color w:val="auto"/>
                              </w:rPr>
                              <w:fldChar w:fldCharType="separate"/>
                            </w:r>
                            <w:r w:rsidRPr="00253F6B">
                              <w:rPr>
                                <w:noProof/>
                                <w:color w:val="auto"/>
                              </w:rPr>
                              <w:t>3</w:t>
                            </w:r>
                            <w:r w:rsidRPr="00253F6B">
                              <w:rPr>
                                <w:color w:val="auto"/>
                              </w:rPr>
                              <w:fldChar w:fldCharType="end"/>
                            </w:r>
                            <w:r w:rsidRPr="00253F6B">
                              <w:rPr>
                                <w:color w:val="auto"/>
                              </w:rPr>
                              <w:t>.</w:t>
                            </w:r>
                            <w:proofErr w:type="gramEnd"/>
                            <w:r w:rsidRPr="00253F6B">
                              <w:rPr>
                                <w:color w:val="auto"/>
                              </w:rPr>
                              <w:t xml:space="preserve">  </w:t>
                            </w:r>
                            <w:proofErr w:type="gramStart"/>
                            <w:r w:rsidRPr="00253F6B">
                              <w:rPr>
                                <w:b w:val="0"/>
                                <w:color w:val="auto"/>
                              </w:rPr>
                              <w:t>Student responses to select QLRA supplemental questions.</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8" o:spid="_x0000_s1028" type="#_x0000_t202" style="position:absolute;left:0;text-align:left;margin-left:69.95pt;margin-top:14pt;width:431.5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" stroked="f">
                <v:textbox style="mso-fit-shape-to-text:t" inset="0,0,0,0">
                  <w:txbxContent>
                    <w:p w:rsidR="00253F6B" w:rsidRPr="00253F6B" w:rsidRDefault="00253F6B" w:rsidP="00253F6B">
                      <w:pPr>
                        <w:pStyle w:val="Caption"/>
                        <w:rPr>
                          <w:rFonts w:ascii="Arial" w:hAnsi="Arial" w:cs="Arial"/>
                          <w:b w:val="0"/>
                          <w:noProof/>
                          <w:color w:val="auto"/>
                          <w:sz w:val="28"/>
                        </w:rPr>
                      </w:pPr>
                      <w:proofErr w:type="gramStart"/>
                      <w:r w:rsidRPr="00253F6B">
                        <w:rPr>
                          <w:color w:val="auto"/>
                        </w:rPr>
                        <w:t xml:space="preserve">Figure </w:t>
                      </w:r>
                      <w:r w:rsidRPr="00253F6B">
                        <w:rPr>
                          <w:color w:val="auto"/>
                        </w:rPr>
                        <w:fldChar w:fldCharType="begin"/>
                      </w:r>
                      <w:r w:rsidRPr="00253F6B">
                        <w:rPr>
                          <w:color w:val="auto"/>
                        </w:rPr>
                        <w:instrText xml:space="preserve"> SEQ Figure \* ARABIC </w:instrText>
                      </w:r>
                      <w:r w:rsidRPr="00253F6B">
                        <w:rPr>
                          <w:color w:val="auto"/>
                        </w:rPr>
                        <w:fldChar w:fldCharType="separate"/>
                      </w:r>
                      <w:r w:rsidRPr="00253F6B">
                        <w:rPr>
                          <w:noProof/>
                          <w:color w:val="auto"/>
                        </w:rPr>
                        <w:t>3</w:t>
                      </w:r>
                      <w:r w:rsidRPr="00253F6B">
                        <w:rPr>
                          <w:color w:val="auto"/>
                        </w:rPr>
                        <w:fldChar w:fldCharType="end"/>
                      </w:r>
                      <w:r w:rsidRPr="00253F6B">
                        <w:rPr>
                          <w:color w:val="auto"/>
                        </w:rPr>
                        <w:t>.</w:t>
                      </w:r>
                      <w:proofErr w:type="gramEnd"/>
                      <w:r w:rsidRPr="00253F6B">
                        <w:rPr>
                          <w:color w:val="auto"/>
                        </w:rPr>
                        <w:t xml:space="preserve">  </w:t>
                      </w:r>
                      <w:proofErr w:type="gramStart"/>
                      <w:r w:rsidRPr="00253F6B">
                        <w:rPr>
                          <w:b w:val="0"/>
                          <w:color w:val="auto"/>
                        </w:rPr>
                        <w:t>Student responses to select QLRA supplemental questions.</w:t>
                      </w:r>
                      <w:proofErr w:type="gramEnd"/>
                    </w:p>
                  </w:txbxContent>
                </v:textbox>
                <w10:wrap type="tight"/>
              </v:shape>
            </w:pict>
          </mc:Fallback>
        </mc:AlternateContent>
      </w:r>
    </w:p>
    <w:p w:rsidR="005D456D" w:rsidRDefault="005D456D" w:rsidP="008A18AC">
      <w:pPr>
        <w:tabs>
          <w:tab w:val="left" w:pos="180"/>
          <w:tab w:val="left" w:pos="720"/>
        </w:tabs>
        <w:spacing w:after="0" w:line="240" w:lineRule="auto"/>
        <w:jc w:val="both"/>
        <w:rPr>
          <w:b/>
          <w:sz w:val="24"/>
        </w:rPr>
      </w:pPr>
    </w:p>
    <w:p w:rsidR="005D456D" w:rsidRPr="005D456D" w:rsidRDefault="005D456D" w:rsidP="008A18AC">
      <w:pPr>
        <w:tabs>
          <w:tab w:val="left" w:pos="180"/>
          <w:tab w:val="left" w:pos="720"/>
        </w:tabs>
        <w:spacing w:after="0" w:line="240" w:lineRule="auto"/>
        <w:jc w:val="both"/>
        <w:rPr>
          <w:b/>
          <w:sz w:val="8"/>
        </w:rPr>
      </w:pPr>
    </w:p>
    <w:p w:rsidR="008A18AC" w:rsidRPr="008A18AC" w:rsidRDefault="005D456D" w:rsidP="008A18AC">
      <w:pPr>
        <w:tabs>
          <w:tab w:val="left" w:pos="180"/>
          <w:tab w:val="left" w:pos="720"/>
        </w:tabs>
        <w:spacing w:after="0" w:line="240" w:lineRule="auto"/>
        <w:jc w:val="both"/>
        <w:rPr>
          <w:b/>
          <w:sz w:val="24"/>
        </w:rPr>
      </w:pPr>
      <w:r>
        <w:rPr>
          <w:b/>
          <w:sz w:val="24"/>
        </w:rPr>
        <w:t>What is our tentative s</w:t>
      </w:r>
      <w:r w:rsidR="008A18AC" w:rsidRPr="008A18AC">
        <w:rPr>
          <w:b/>
          <w:sz w:val="24"/>
        </w:rPr>
        <w:t>ummary</w:t>
      </w:r>
      <w:r>
        <w:rPr>
          <w:b/>
          <w:sz w:val="24"/>
        </w:rPr>
        <w:t xml:space="preserve"> evaluation at this point?</w:t>
      </w:r>
    </w:p>
    <w:p w:rsidR="008A18AC" w:rsidRPr="008A18AC" w:rsidRDefault="008A18AC" w:rsidP="008A18AC">
      <w:pPr>
        <w:tabs>
          <w:tab w:val="left" w:pos="180"/>
          <w:tab w:val="left" w:pos="720"/>
        </w:tabs>
        <w:spacing w:after="0" w:line="240" w:lineRule="auto"/>
        <w:jc w:val="both"/>
        <w:rPr>
          <w:sz w:val="24"/>
        </w:rPr>
      </w:pPr>
      <w:r>
        <w:rPr>
          <w:sz w:val="24"/>
        </w:rPr>
        <w:t>In general our students seem to be meeting t</w:t>
      </w:r>
      <w:r w:rsidR="005D456D">
        <w:rPr>
          <w:sz w:val="24"/>
        </w:rPr>
        <w:t>he objectives of the QL ILO but we might benefit from some adjustments to our QAR GE course offerings, QAR course syllabus policies, incorporation of histograms in QAR instruction, and our strategy for implementing value added assessment of QAR GE courses.</w:t>
      </w:r>
    </w:p>
    <w:sectPr w:rsidR="008A18AC" w:rsidRPr="008A18AC" w:rsidSect="002A1EE7">
      <w:footerReference w:type="default" r:id="rId11"/>
      <w:pgSz w:w="12240" w:h="15840"/>
      <w:pgMar w:top="720" w:right="720" w:bottom="821"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4D8" w:rsidRDefault="002314D8" w:rsidP="00AB1D58">
      <w:pPr>
        <w:spacing w:after="0" w:line="240" w:lineRule="auto"/>
      </w:pPr>
      <w:r>
        <w:separator/>
      </w:r>
    </w:p>
  </w:endnote>
  <w:endnote w:type="continuationSeparator" w:id="0">
    <w:p w:rsidR="002314D8" w:rsidRDefault="002314D8" w:rsidP="00AB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DB4" w:rsidRDefault="00392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4D8" w:rsidRDefault="002314D8" w:rsidP="00AB1D58">
      <w:pPr>
        <w:spacing w:after="0" w:line="240" w:lineRule="auto"/>
      </w:pPr>
      <w:r>
        <w:separator/>
      </w:r>
    </w:p>
  </w:footnote>
  <w:footnote w:type="continuationSeparator" w:id="0">
    <w:p w:rsidR="002314D8" w:rsidRDefault="002314D8" w:rsidP="00AB1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F32"/>
    <w:multiLevelType w:val="hybridMultilevel"/>
    <w:tmpl w:val="4E7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95B19"/>
    <w:multiLevelType w:val="hybridMultilevel"/>
    <w:tmpl w:val="11403DF0"/>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5704101"/>
    <w:multiLevelType w:val="hybridMultilevel"/>
    <w:tmpl w:val="F88E0C98"/>
    <w:lvl w:ilvl="0" w:tplc="C928865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51461CE"/>
    <w:multiLevelType w:val="hybridMultilevel"/>
    <w:tmpl w:val="185CC8F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E2149E34">
      <w:start w:val="2014"/>
      <w:numFmt w:val="bullet"/>
      <w:lvlText w:val="-"/>
      <w:lvlJc w:val="left"/>
      <w:pPr>
        <w:ind w:left="6480" w:hanging="360"/>
      </w:pPr>
      <w:rPr>
        <w:rFonts w:ascii="Calibri" w:eastAsiaTheme="minorHAnsi" w:hAnsi="Calibri" w:cstheme="minorBidi"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AAC65C6"/>
    <w:multiLevelType w:val="hybridMultilevel"/>
    <w:tmpl w:val="46F6A308"/>
    <w:lvl w:ilvl="0" w:tplc="20A0F00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3A067A4"/>
    <w:multiLevelType w:val="hybridMultilevel"/>
    <w:tmpl w:val="11403DF0"/>
    <w:lvl w:ilvl="0" w:tplc="20A0F00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3EE2761"/>
    <w:multiLevelType w:val="hybridMultilevel"/>
    <w:tmpl w:val="C54C7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77335"/>
    <w:multiLevelType w:val="hybridMultilevel"/>
    <w:tmpl w:val="18409BF0"/>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B05082C"/>
    <w:multiLevelType w:val="hybridMultilevel"/>
    <w:tmpl w:val="7D023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7CF3277"/>
    <w:multiLevelType w:val="hybridMultilevel"/>
    <w:tmpl w:val="71347A0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DA21704"/>
    <w:multiLevelType w:val="hybridMultilevel"/>
    <w:tmpl w:val="46F6A308"/>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DA73CB5"/>
    <w:multiLevelType w:val="hybridMultilevel"/>
    <w:tmpl w:val="46F6A308"/>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0A21B73"/>
    <w:multiLevelType w:val="hybridMultilevel"/>
    <w:tmpl w:val="9BC8D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5F23FB1"/>
    <w:multiLevelType w:val="hybridMultilevel"/>
    <w:tmpl w:val="BE3CA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213127"/>
    <w:multiLevelType w:val="hybridMultilevel"/>
    <w:tmpl w:val="FB78F6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A064E"/>
    <w:multiLevelType w:val="hybridMultilevel"/>
    <w:tmpl w:val="1D78D734"/>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6"/>
  </w:num>
  <w:num w:numId="4">
    <w:abstractNumId w:val="0"/>
  </w:num>
  <w:num w:numId="5">
    <w:abstractNumId w:val="3"/>
  </w:num>
  <w:num w:numId="6">
    <w:abstractNumId w:val="2"/>
  </w:num>
  <w:num w:numId="7">
    <w:abstractNumId w:val="5"/>
  </w:num>
  <w:num w:numId="8">
    <w:abstractNumId w:val="11"/>
  </w:num>
  <w:num w:numId="9">
    <w:abstractNumId w:val="8"/>
  </w:num>
  <w:num w:numId="10">
    <w:abstractNumId w:val="1"/>
  </w:num>
  <w:num w:numId="11">
    <w:abstractNumId w:val="4"/>
  </w:num>
  <w:num w:numId="12">
    <w:abstractNumId w:val="10"/>
  </w:num>
  <w:num w:numId="13">
    <w:abstractNumId w:val="14"/>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1A"/>
    <w:rsid w:val="000060AB"/>
    <w:rsid w:val="000126F3"/>
    <w:rsid w:val="00023541"/>
    <w:rsid w:val="000B3520"/>
    <w:rsid w:val="000E0DC2"/>
    <w:rsid w:val="000F31D9"/>
    <w:rsid w:val="0012285F"/>
    <w:rsid w:val="00132D8F"/>
    <w:rsid w:val="00151073"/>
    <w:rsid w:val="00174EF7"/>
    <w:rsid w:val="00185ECA"/>
    <w:rsid w:val="001B5555"/>
    <w:rsid w:val="001D7F75"/>
    <w:rsid w:val="00220FCC"/>
    <w:rsid w:val="002314D8"/>
    <w:rsid w:val="00253F6B"/>
    <w:rsid w:val="00290CFE"/>
    <w:rsid w:val="002A1EE7"/>
    <w:rsid w:val="00301205"/>
    <w:rsid w:val="0030749C"/>
    <w:rsid w:val="003155FC"/>
    <w:rsid w:val="00317290"/>
    <w:rsid w:val="00325EF5"/>
    <w:rsid w:val="00334E7F"/>
    <w:rsid w:val="00344028"/>
    <w:rsid w:val="0036634A"/>
    <w:rsid w:val="00392DB4"/>
    <w:rsid w:val="00396AF4"/>
    <w:rsid w:val="003F1C26"/>
    <w:rsid w:val="0049399C"/>
    <w:rsid w:val="004D4049"/>
    <w:rsid w:val="005043A3"/>
    <w:rsid w:val="00544A0D"/>
    <w:rsid w:val="00567181"/>
    <w:rsid w:val="00592DD5"/>
    <w:rsid w:val="005A26BE"/>
    <w:rsid w:val="005D456D"/>
    <w:rsid w:val="005F3912"/>
    <w:rsid w:val="00620E6D"/>
    <w:rsid w:val="00626577"/>
    <w:rsid w:val="006905DA"/>
    <w:rsid w:val="006A7200"/>
    <w:rsid w:val="006B0CBE"/>
    <w:rsid w:val="006B70DB"/>
    <w:rsid w:val="006C542F"/>
    <w:rsid w:val="006E20C2"/>
    <w:rsid w:val="006E6DC1"/>
    <w:rsid w:val="00710580"/>
    <w:rsid w:val="007A4D3E"/>
    <w:rsid w:val="007D08A0"/>
    <w:rsid w:val="008729A7"/>
    <w:rsid w:val="00884F3D"/>
    <w:rsid w:val="00894147"/>
    <w:rsid w:val="008A18AC"/>
    <w:rsid w:val="008B426F"/>
    <w:rsid w:val="008F2EFF"/>
    <w:rsid w:val="009004FC"/>
    <w:rsid w:val="00942719"/>
    <w:rsid w:val="00951426"/>
    <w:rsid w:val="0098088C"/>
    <w:rsid w:val="0099260C"/>
    <w:rsid w:val="009E4BA4"/>
    <w:rsid w:val="009E6DE2"/>
    <w:rsid w:val="009F66D0"/>
    <w:rsid w:val="00A166F4"/>
    <w:rsid w:val="00A404A3"/>
    <w:rsid w:val="00A91373"/>
    <w:rsid w:val="00AA2247"/>
    <w:rsid w:val="00AB1D58"/>
    <w:rsid w:val="00AC0646"/>
    <w:rsid w:val="00B44BF7"/>
    <w:rsid w:val="00B64525"/>
    <w:rsid w:val="00B9455C"/>
    <w:rsid w:val="00BA5589"/>
    <w:rsid w:val="00BB1353"/>
    <w:rsid w:val="00BC26F9"/>
    <w:rsid w:val="00BC35CD"/>
    <w:rsid w:val="00C22844"/>
    <w:rsid w:val="00C65A12"/>
    <w:rsid w:val="00C816B2"/>
    <w:rsid w:val="00C9562C"/>
    <w:rsid w:val="00CB45EE"/>
    <w:rsid w:val="00CD27CF"/>
    <w:rsid w:val="00D00613"/>
    <w:rsid w:val="00D369D8"/>
    <w:rsid w:val="00D53485"/>
    <w:rsid w:val="00E06112"/>
    <w:rsid w:val="00E14BB9"/>
    <w:rsid w:val="00E26963"/>
    <w:rsid w:val="00E27D76"/>
    <w:rsid w:val="00E90F17"/>
    <w:rsid w:val="00EB48BC"/>
    <w:rsid w:val="00EC4F2F"/>
    <w:rsid w:val="00EE031A"/>
    <w:rsid w:val="00EE7216"/>
    <w:rsid w:val="00EF662D"/>
    <w:rsid w:val="00F0627A"/>
    <w:rsid w:val="00F2595B"/>
    <w:rsid w:val="00F35A1D"/>
    <w:rsid w:val="00F81C53"/>
    <w:rsid w:val="00F93B97"/>
    <w:rsid w:val="00FA5BAB"/>
    <w:rsid w:val="00FE4F5E"/>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31A"/>
    <w:pPr>
      <w:ind w:left="720"/>
      <w:contextualSpacing/>
    </w:pPr>
  </w:style>
  <w:style w:type="table" w:styleId="TableGrid">
    <w:name w:val="Table Grid"/>
    <w:basedOn w:val="TableNormal"/>
    <w:uiPriority w:val="59"/>
    <w:rsid w:val="0039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BA4"/>
    <w:pPr>
      <w:autoSpaceDE w:val="0"/>
      <w:autoSpaceDN w:val="0"/>
      <w:adjustRightInd w:val="0"/>
      <w:spacing w:after="0" w:line="240" w:lineRule="auto"/>
    </w:pPr>
    <w:rPr>
      <w:rFonts w:ascii="Calibri" w:eastAsia="Times" w:hAnsi="Calibri" w:cs="Calibri"/>
      <w:color w:val="000000"/>
      <w:sz w:val="24"/>
      <w:szCs w:val="24"/>
    </w:rPr>
  </w:style>
  <w:style w:type="paragraph" w:styleId="NormalWeb">
    <w:name w:val="Normal (Web)"/>
    <w:basedOn w:val="Normal"/>
    <w:uiPriority w:val="99"/>
    <w:unhideWhenUsed/>
    <w:rsid w:val="009E4B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4BA4"/>
    <w:rPr>
      <w:color w:val="0000FF"/>
      <w:u w:val="single"/>
    </w:rPr>
  </w:style>
  <w:style w:type="paragraph" w:styleId="BalloonText">
    <w:name w:val="Balloon Text"/>
    <w:basedOn w:val="Normal"/>
    <w:link w:val="BalloonTextChar"/>
    <w:uiPriority w:val="99"/>
    <w:semiHidden/>
    <w:unhideWhenUsed/>
    <w:rsid w:val="00BB1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53"/>
    <w:rPr>
      <w:rFonts w:ascii="Tahoma" w:hAnsi="Tahoma" w:cs="Tahoma"/>
      <w:sz w:val="16"/>
      <w:szCs w:val="16"/>
    </w:rPr>
  </w:style>
  <w:style w:type="paragraph" w:styleId="Header">
    <w:name w:val="header"/>
    <w:basedOn w:val="Normal"/>
    <w:link w:val="HeaderChar"/>
    <w:uiPriority w:val="99"/>
    <w:unhideWhenUsed/>
    <w:rsid w:val="00AB1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58"/>
  </w:style>
  <w:style w:type="paragraph" w:styleId="Footer">
    <w:name w:val="footer"/>
    <w:basedOn w:val="Normal"/>
    <w:link w:val="FooterChar"/>
    <w:uiPriority w:val="99"/>
    <w:unhideWhenUsed/>
    <w:rsid w:val="00AB1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58"/>
  </w:style>
  <w:style w:type="paragraph" w:styleId="Caption">
    <w:name w:val="caption"/>
    <w:basedOn w:val="Normal"/>
    <w:next w:val="Normal"/>
    <w:uiPriority w:val="35"/>
    <w:unhideWhenUsed/>
    <w:qFormat/>
    <w:rsid w:val="007A4D3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31A"/>
    <w:pPr>
      <w:ind w:left="720"/>
      <w:contextualSpacing/>
    </w:pPr>
  </w:style>
  <w:style w:type="table" w:styleId="TableGrid">
    <w:name w:val="Table Grid"/>
    <w:basedOn w:val="TableNormal"/>
    <w:uiPriority w:val="59"/>
    <w:rsid w:val="0039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BA4"/>
    <w:pPr>
      <w:autoSpaceDE w:val="0"/>
      <w:autoSpaceDN w:val="0"/>
      <w:adjustRightInd w:val="0"/>
      <w:spacing w:after="0" w:line="240" w:lineRule="auto"/>
    </w:pPr>
    <w:rPr>
      <w:rFonts w:ascii="Calibri" w:eastAsia="Times" w:hAnsi="Calibri" w:cs="Calibri"/>
      <w:color w:val="000000"/>
      <w:sz w:val="24"/>
      <w:szCs w:val="24"/>
    </w:rPr>
  </w:style>
  <w:style w:type="paragraph" w:styleId="NormalWeb">
    <w:name w:val="Normal (Web)"/>
    <w:basedOn w:val="Normal"/>
    <w:uiPriority w:val="99"/>
    <w:unhideWhenUsed/>
    <w:rsid w:val="009E4B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4BA4"/>
    <w:rPr>
      <w:color w:val="0000FF"/>
      <w:u w:val="single"/>
    </w:rPr>
  </w:style>
  <w:style w:type="paragraph" w:styleId="BalloonText">
    <w:name w:val="Balloon Text"/>
    <w:basedOn w:val="Normal"/>
    <w:link w:val="BalloonTextChar"/>
    <w:uiPriority w:val="99"/>
    <w:semiHidden/>
    <w:unhideWhenUsed/>
    <w:rsid w:val="00BB1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53"/>
    <w:rPr>
      <w:rFonts w:ascii="Tahoma" w:hAnsi="Tahoma" w:cs="Tahoma"/>
      <w:sz w:val="16"/>
      <w:szCs w:val="16"/>
    </w:rPr>
  </w:style>
  <w:style w:type="paragraph" w:styleId="Header">
    <w:name w:val="header"/>
    <w:basedOn w:val="Normal"/>
    <w:link w:val="HeaderChar"/>
    <w:uiPriority w:val="99"/>
    <w:unhideWhenUsed/>
    <w:rsid w:val="00AB1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58"/>
  </w:style>
  <w:style w:type="paragraph" w:styleId="Footer">
    <w:name w:val="footer"/>
    <w:basedOn w:val="Normal"/>
    <w:link w:val="FooterChar"/>
    <w:uiPriority w:val="99"/>
    <w:unhideWhenUsed/>
    <w:rsid w:val="00AB1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58"/>
  </w:style>
  <w:style w:type="paragraph" w:styleId="Caption">
    <w:name w:val="caption"/>
    <w:basedOn w:val="Normal"/>
    <w:next w:val="Normal"/>
    <w:uiPriority w:val="35"/>
    <w:unhideWhenUsed/>
    <w:qFormat/>
    <w:rsid w:val="007A4D3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contakes\Documents\College%20Service%20Work\Committee%20work\GE%20Committee%202014%20to%202017\QAR%20Results%20Combined%20Docum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contakes\Documents\College%20Service%20Work\Committee%20work\GE%20Committee%202014%20to%202017\QAR%20Results%20Combined%20Docu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aseline="0"/>
              <a:t>Incoming Student &amp; Senior QLRA Results Comparison</a:t>
            </a:r>
            <a:endParaRPr lang="en-US" sz="1200"/>
          </a:p>
        </c:rich>
      </c:tx>
      <c:layout>
        <c:manualLayout>
          <c:xMode val="edge"/>
          <c:yMode val="edge"/>
          <c:x val="0.15020435422431697"/>
          <c:y val="1.5183146707155058E-2"/>
        </c:manualLayout>
      </c:layout>
      <c:overlay val="0"/>
    </c:title>
    <c:autoTitleDeleted val="0"/>
    <c:plotArea>
      <c:layout>
        <c:manualLayout>
          <c:layoutTarget val="inner"/>
          <c:xMode val="edge"/>
          <c:yMode val="edge"/>
          <c:x val="0.16141859162192046"/>
          <c:y val="0.13821824394775384"/>
          <c:w val="0.79670298833942454"/>
          <c:h val="0.55837469055745703"/>
        </c:manualLayout>
      </c:layout>
      <c:lineChart>
        <c:grouping val="standard"/>
        <c:varyColors val="0"/>
        <c:ser>
          <c:idx val="1"/>
          <c:order val="0"/>
          <c:tx>
            <c:v>Incoming Students</c:v>
          </c:tx>
          <c:spPr>
            <a:ln w="101600" cap="flat">
              <a:solidFill>
                <a:srgbClr val="0000FF"/>
              </a:solidFill>
            </a:ln>
          </c:spPr>
          <c:marker>
            <c:symbol val="none"/>
          </c:marker>
          <c:cat>
            <c:strRef>
              <c:f>'Incoming only'!$AG$147:$AG$156</c:f>
              <c:strCache>
                <c:ptCount val="10"/>
                <c:pt idx="0">
                  <c:v>0-10%</c:v>
                </c:pt>
                <c:pt idx="1">
                  <c:v>11-20%</c:v>
                </c:pt>
                <c:pt idx="2">
                  <c:v>21-30%</c:v>
                </c:pt>
                <c:pt idx="3">
                  <c:v>31-40%</c:v>
                </c:pt>
                <c:pt idx="4">
                  <c:v>41-50%</c:v>
                </c:pt>
                <c:pt idx="5">
                  <c:v>51-60%</c:v>
                </c:pt>
                <c:pt idx="6">
                  <c:v>61-70%</c:v>
                </c:pt>
                <c:pt idx="7">
                  <c:v>71-80%</c:v>
                </c:pt>
                <c:pt idx="8">
                  <c:v>81-90%</c:v>
                </c:pt>
                <c:pt idx="9">
                  <c:v>90-100%</c:v>
                </c:pt>
              </c:strCache>
            </c:strRef>
          </c:cat>
          <c:val>
            <c:numRef>
              <c:f>'Incoming only'!$AH$147:$AH$156</c:f>
              <c:numCache>
                <c:formatCode>0%</c:formatCode>
                <c:ptCount val="10"/>
                <c:pt idx="0">
                  <c:v>8.0645161290322578E-3</c:v>
                </c:pt>
                <c:pt idx="1">
                  <c:v>4.0322580645161289E-2</c:v>
                </c:pt>
                <c:pt idx="2">
                  <c:v>0.14516129032258066</c:v>
                </c:pt>
                <c:pt idx="3">
                  <c:v>0.19354838709677419</c:v>
                </c:pt>
                <c:pt idx="4">
                  <c:v>0.15322580645161291</c:v>
                </c:pt>
                <c:pt idx="5">
                  <c:v>0.10483870967741934</c:v>
                </c:pt>
                <c:pt idx="6">
                  <c:v>0.12096774193548387</c:v>
                </c:pt>
                <c:pt idx="7">
                  <c:v>0.13709677419354838</c:v>
                </c:pt>
                <c:pt idx="8">
                  <c:v>8.0645161290322578E-2</c:v>
                </c:pt>
                <c:pt idx="9">
                  <c:v>1.6129032258064516E-2</c:v>
                </c:pt>
              </c:numCache>
            </c:numRef>
          </c:val>
          <c:smooth val="0"/>
        </c:ser>
        <c:ser>
          <c:idx val="0"/>
          <c:order val="1"/>
          <c:tx>
            <c:v>Seniors</c:v>
          </c:tx>
          <c:spPr>
            <a:ln w="101600" cap="flat">
              <a:solidFill>
                <a:srgbClr val="FF0000"/>
              </a:solidFill>
            </a:ln>
          </c:spPr>
          <c:marker>
            <c:symbol val="none"/>
          </c:marker>
          <c:cat>
            <c:strRef>
              <c:f>'Incoming only'!$AG$147:$AG$156</c:f>
              <c:strCache>
                <c:ptCount val="10"/>
                <c:pt idx="0">
                  <c:v>0-10%</c:v>
                </c:pt>
                <c:pt idx="1">
                  <c:v>11-20%</c:v>
                </c:pt>
                <c:pt idx="2">
                  <c:v>21-30%</c:v>
                </c:pt>
                <c:pt idx="3">
                  <c:v>31-40%</c:v>
                </c:pt>
                <c:pt idx="4">
                  <c:v>41-50%</c:v>
                </c:pt>
                <c:pt idx="5">
                  <c:v>51-60%</c:v>
                </c:pt>
                <c:pt idx="6">
                  <c:v>61-70%</c:v>
                </c:pt>
                <c:pt idx="7">
                  <c:v>71-80%</c:v>
                </c:pt>
                <c:pt idx="8">
                  <c:v>81-90%</c:v>
                </c:pt>
                <c:pt idx="9">
                  <c:v>90-100%</c:v>
                </c:pt>
              </c:strCache>
            </c:strRef>
          </c:cat>
          <c:val>
            <c:numRef>
              <c:f>'Senior results'!$AH$104:$AH$113</c:f>
              <c:numCache>
                <c:formatCode>0%</c:formatCode>
                <c:ptCount val="10"/>
                <c:pt idx="0">
                  <c:v>0</c:v>
                </c:pt>
                <c:pt idx="1">
                  <c:v>4.9382716049382713E-2</c:v>
                </c:pt>
                <c:pt idx="2">
                  <c:v>7.407407407407407E-2</c:v>
                </c:pt>
                <c:pt idx="3">
                  <c:v>9.8765432098765427E-2</c:v>
                </c:pt>
                <c:pt idx="4">
                  <c:v>8.6419753086419748E-2</c:v>
                </c:pt>
                <c:pt idx="5">
                  <c:v>0.1111111111111111</c:v>
                </c:pt>
                <c:pt idx="6">
                  <c:v>0.13580246913580246</c:v>
                </c:pt>
                <c:pt idx="7">
                  <c:v>0.18518518518518517</c:v>
                </c:pt>
                <c:pt idx="8">
                  <c:v>9.8765432098765427E-2</c:v>
                </c:pt>
                <c:pt idx="9">
                  <c:v>0.16049382716049382</c:v>
                </c:pt>
              </c:numCache>
            </c:numRef>
          </c:val>
          <c:smooth val="0"/>
        </c:ser>
        <c:dLbls>
          <c:showLegendKey val="0"/>
          <c:showVal val="0"/>
          <c:showCatName val="0"/>
          <c:showSerName val="0"/>
          <c:showPercent val="0"/>
          <c:showBubbleSize val="0"/>
        </c:dLbls>
        <c:marker val="1"/>
        <c:smooth val="0"/>
        <c:axId val="126491648"/>
        <c:axId val="126522496"/>
      </c:lineChart>
      <c:catAx>
        <c:axId val="126491648"/>
        <c:scaling>
          <c:orientation val="minMax"/>
        </c:scaling>
        <c:delete val="0"/>
        <c:axPos val="b"/>
        <c:title>
          <c:tx>
            <c:rich>
              <a:bodyPr/>
              <a:lstStyle/>
              <a:p>
                <a:pPr>
                  <a:defRPr sz="1200"/>
                </a:pPr>
                <a:r>
                  <a:rPr lang="en-US" sz="1200"/>
                  <a:t>Score Range</a:t>
                </a:r>
              </a:p>
            </c:rich>
          </c:tx>
          <c:layout>
            <c:manualLayout>
              <c:xMode val="edge"/>
              <c:yMode val="edge"/>
              <c:x val="0.46011748968996602"/>
              <c:y val="0.89584375365023072"/>
            </c:manualLayout>
          </c:layout>
          <c:overlay val="0"/>
        </c:title>
        <c:numFmt formatCode="0%" sourceLinked="1"/>
        <c:majorTickMark val="out"/>
        <c:minorTickMark val="none"/>
        <c:tickLblPos val="nextTo"/>
        <c:txPr>
          <a:bodyPr/>
          <a:lstStyle/>
          <a:p>
            <a:pPr>
              <a:defRPr sz="1000"/>
            </a:pPr>
            <a:endParaRPr lang="en-US"/>
          </a:p>
        </c:txPr>
        <c:crossAx val="126522496"/>
        <c:crosses val="autoZero"/>
        <c:auto val="1"/>
        <c:lblAlgn val="ctr"/>
        <c:lblOffset val="100"/>
        <c:noMultiLvlLbl val="0"/>
      </c:catAx>
      <c:valAx>
        <c:axId val="126522496"/>
        <c:scaling>
          <c:orientation val="minMax"/>
          <c:min val="0"/>
        </c:scaling>
        <c:delete val="0"/>
        <c:axPos val="l"/>
        <c:title>
          <c:tx>
            <c:rich>
              <a:bodyPr rot="-5400000" vert="horz"/>
              <a:lstStyle/>
              <a:p>
                <a:pPr>
                  <a:defRPr sz="1200"/>
                </a:pPr>
                <a:r>
                  <a:rPr lang="en-US" sz="1200"/>
                  <a:t>Fraction</a:t>
                </a:r>
                <a:r>
                  <a:rPr lang="en-US" sz="1200" baseline="0"/>
                  <a:t> of </a:t>
                </a:r>
                <a:r>
                  <a:rPr lang="en-US" sz="1200"/>
                  <a:t>Students</a:t>
                </a:r>
              </a:p>
            </c:rich>
          </c:tx>
          <c:layout>
            <c:manualLayout>
              <c:xMode val="edge"/>
              <c:yMode val="edge"/>
              <c:x val="2.8055014303917339E-2"/>
              <c:y val="0.11052786685556738"/>
            </c:manualLayout>
          </c:layout>
          <c:overlay val="0"/>
        </c:title>
        <c:numFmt formatCode="0%" sourceLinked="0"/>
        <c:majorTickMark val="out"/>
        <c:minorTickMark val="none"/>
        <c:tickLblPos val="nextTo"/>
        <c:txPr>
          <a:bodyPr/>
          <a:lstStyle/>
          <a:p>
            <a:pPr>
              <a:defRPr sz="1000"/>
            </a:pPr>
            <a:endParaRPr lang="en-US"/>
          </a:p>
        </c:txPr>
        <c:crossAx val="126491648"/>
        <c:crosses val="autoZero"/>
        <c:crossBetween val="midCat"/>
      </c:valAx>
    </c:plotArea>
    <c:legend>
      <c:legendPos val="r"/>
      <c:layout>
        <c:manualLayout>
          <c:xMode val="edge"/>
          <c:yMode val="edge"/>
          <c:x val="0.14672780231739324"/>
          <c:y val="0.1164249725546439"/>
          <c:w val="0.35657947182629579"/>
          <c:h val="0.15521127215534397"/>
        </c:manualLayout>
      </c:layout>
      <c:overlay val="0"/>
      <c:txPr>
        <a:bodyPr/>
        <a:lstStyle/>
        <a:p>
          <a:pPr>
            <a:defRPr sz="105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Incoming Student and Senior QLRA Skills Comparison</a:t>
            </a:r>
            <a:endParaRPr lang="en-US" sz="1600">
              <a:effectLst/>
            </a:endParaRPr>
          </a:p>
        </c:rich>
      </c:tx>
      <c:layout>
        <c:manualLayout>
          <c:xMode val="edge"/>
          <c:yMode val="edge"/>
          <c:x val="0.18961540280437919"/>
          <c:y val="1.4533264582695259E-3"/>
        </c:manualLayout>
      </c:layout>
      <c:overlay val="1"/>
    </c:title>
    <c:autoTitleDeleted val="0"/>
    <c:plotArea>
      <c:layout>
        <c:manualLayout>
          <c:layoutTarget val="inner"/>
          <c:xMode val="edge"/>
          <c:yMode val="edge"/>
          <c:x val="0.12376746825565724"/>
          <c:y val="2.263959007905653E-2"/>
          <c:w val="0.85531904808869896"/>
          <c:h val="0.59489718702543781"/>
        </c:manualLayout>
      </c:layout>
      <c:barChart>
        <c:barDir val="col"/>
        <c:grouping val="clustered"/>
        <c:varyColors val="0"/>
        <c:ser>
          <c:idx val="0"/>
          <c:order val="0"/>
          <c:tx>
            <c:v>Incoming Students</c:v>
          </c:tx>
          <c:spPr>
            <a:solidFill>
              <a:srgbClr val="0066FF"/>
            </a:solidFill>
          </c:spPr>
          <c:invertIfNegative val="0"/>
          <c:cat>
            <c:strRef>
              <c:f>'[15FA QAR Results Segregated by entering declared majors etc   .xlsx] entering aonly'!$CJ$3:$CJ$22</c:f>
              <c:strCache>
                <c:ptCount val="20"/>
                <c:pt idx="0">
                  <c:v>Algebra</c:v>
                </c:pt>
                <c:pt idx="1">
                  <c:v>Pie Chart</c:v>
                </c:pt>
                <c:pt idx="2">
                  <c:v>Tables</c:v>
                </c:pt>
                <c:pt idx="3">
                  <c:v>Bar Chart</c:v>
                </c:pt>
                <c:pt idx="4">
                  <c:v>Logic</c:v>
                </c:pt>
                <c:pt idx="5">
                  <c:v>Percentages</c:v>
                </c:pt>
                <c:pt idx="6">
                  <c:v>Verbal representation</c:v>
                </c:pt>
                <c:pt idx="7">
                  <c:v>Rates</c:v>
                </c:pt>
                <c:pt idx="8">
                  <c:v>Linear Growth</c:v>
                </c:pt>
                <c:pt idx="9">
                  <c:v>Unit Conversions</c:v>
                </c:pt>
                <c:pt idx="10">
                  <c:v>Proportional Reasoning</c:v>
                </c:pt>
                <c:pt idx="11">
                  <c:v>Graphs</c:v>
                </c:pt>
                <c:pt idx="12">
                  <c:v>Fractions</c:v>
                </c:pt>
                <c:pt idx="13">
                  <c:v>Means</c:v>
                </c:pt>
                <c:pt idx="14">
                  <c:v>Histograms</c:v>
                </c:pt>
                <c:pt idx="15">
                  <c:v>Scale (large numbers)</c:v>
                </c:pt>
                <c:pt idx="16">
                  <c:v>Decimals</c:v>
                </c:pt>
                <c:pt idx="17">
                  <c:v>Probability</c:v>
                </c:pt>
                <c:pt idx="18">
                  <c:v>Complement</c:v>
                </c:pt>
                <c:pt idx="19">
                  <c:v>Rounding</c:v>
                </c:pt>
              </c:strCache>
            </c:strRef>
          </c:cat>
          <c:val>
            <c:numRef>
              <c:f>'[15FA QAR Results Segregated by entering declared majors etc   .xlsx] entering aonly'!$CK$3:$CK$22</c:f>
              <c:numCache>
                <c:formatCode>0%</c:formatCode>
                <c:ptCount val="20"/>
                <c:pt idx="0">
                  <c:v>0.20560747663551401</c:v>
                </c:pt>
                <c:pt idx="1">
                  <c:v>0.30841121495327101</c:v>
                </c:pt>
                <c:pt idx="2">
                  <c:v>0.37850467289719625</c:v>
                </c:pt>
                <c:pt idx="3">
                  <c:v>0.38317757009345793</c:v>
                </c:pt>
                <c:pt idx="4">
                  <c:v>0.42056074766355139</c:v>
                </c:pt>
                <c:pt idx="5">
                  <c:v>0.43524699599465955</c:v>
                </c:pt>
                <c:pt idx="6">
                  <c:v>0.44112149532710276</c:v>
                </c:pt>
                <c:pt idx="7">
                  <c:v>0.44548286604361365</c:v>
                </c:pt>
                <c:pt idx="8">
                  <c:v>0.49532710280373832</c:v>
                </c:pt>
                <c:pt idx="9">
                  <c:v>0.49999999999999994</c:v>
                </c:pt>
                <c:pt idx="10">
                  <c:v>0.57943925233644855</c:v>
                </c:pt>
                <c:pt idx="11">
                  <c:v>0.63177570093457946</c:v>
                </c:pt>
                <c:pt idx="12">
                  <c:v>0.64299065420560741</c:v>
                </c:pt>
                <c:pt idx="13">
                  <c:v>0.65420560747663548</c:v>
                </c:pt>
                <c:pt idx="14">
                  <c:v>0.65420560747663548</c:v>
                </c:pt>
                <c:pt idx="15">
                  <c:v>0.66355140186915884</c:v>
                </c:pt>
                <c:pt idx="16">
                  <c:v>0.67289719626168221</c:v>
                </c:pt>
                <c:pt idx="17">
                  <c:v>0.74766355140186913</c:v>
                </c:pt>
                <c:pt idx="18">
                  <c:v>0.76635514018691586</c:v>
                </c:pt>
                <c:pt idx="19">
                  <c:v>0.77570093457943923</c:v>
                </c:pt>
              </c:numCache>
            </c:numRef>
          </c:val>
        </c:ser>
        <c:ser>
          <c:idx val="1"/>
          <c:order val="1"/>
          <c:tx>
            <c:v>Seniors</c:v>
          </c:tx>
          <c:spPr>
            <a:solidFill>
              <a:srgbClr val="FF0000"/>
            </a:solidFill>
          </c:spPr>
          <c:invertIfNegative val="0"/>
          <c:val>
            <c:numRef>
              <c:f>'Senior results'!$BN$3:$BN$22</c:f>
              <c:numCache>
                <c:formatCode>0%</c:formatCode>
                <c:ptCount val="20"/>
                <c:pt idx="0">
                  <c:v>0.54320987654320985</c:v>
                </c:pt>
                <c:pt idx="1">
                  <c:v>0.69135802469135799</c:v>
                </c:pt>
                <c:pt idx="2">
                  <c:v>0.39506172839506171</c:v>
                </c:pt>
                <c:pt idx="3">
                  <c:v>0.50617283950617287</c:v>
                </c:pt>
                <c:pt idx="4">
                  <c:v>0.55555555555555558</c:v>
                </c:pt>
                <c:pt idx="5">
                  <c:v>0.61111111111111116</c:v>
                </c:pt>
                <c:pt idx="6">
                  <c:v>0.64021164021164023</c:v>
                </c:pt>
                <c:pt idx="7">
                  <c:v>0.55061728395061726</c:v>
                </c:pt>
                <c:pt idx="8">
                  <c:v>0.61111111111111116</c:v>
                </c:pt>
                <c:pt idx="9">
                  <c:v>0.66843033509700167</c:v>
                </c:pt>
                <c:pt idx="10">
                  <c:v>0.61728395061728392</c:v>
                </c:pt>
                <c:pt idx="11">
                  <c:v>0.61728395061728392</c:v>
                </c:pt>
                <c:pt idx="12">
                  <c:v>0.65432098765432101</c:v>
                </c:pt>
                <c:pt idx="13">
                  <c:v>0.77777777777777779</c:v>
                </c:pt>
                <c:pt idx="14">
                  <c:v>0.55555555555555558</c:v>
                </c:pt>
                <c:pt idx="15">
                  <c:v>0.76296296296296295</c:v>
                </c:pt>
                <c:pt idx="16">
                  <c:v>0.75308641975308643</c:v>
                </c:pt>
                <c:pt idx="17">
                  <c:v>0.75308641975308643</c:v>
                </c:pt>
                <c:pt idx="18">
                  <c:v>0.88888888888888884</c:v>
                </c:pt>
                <c:pt idx="19">
                  <c:v>0.85185185185185186</c:v>
                </c:pt>
              </c:numCache>
            </c:numRef>
          </c:val>
        </c:ser>
        <c:dLbls>
          <c:showLegendKey val="0"/>
          <c:showVal val="0"/>
          <c:showCatName val="0"/>
          <c:showSerName val="0"/>
          <c:showPercent val="0"/>
          <c:showBubbleSize val="0"/>
        </c:dLbls>
        <c:gapWidth val="150"/>
        <c:axId val="126556800"/>
        <c:axId val="126558976"/>
      </c:barChart>
      <c:catAx>
        <c:axId val="126556800"/>
        <c:scaling>
          <c:orientation val="minMax"/>
        </c:scaling>
        <c:delete val="0"/>
        <c:axPos val="b"/>
        <c:title>
          <c:tx>
            <c:rich>
              <a:bodyPr/>
              <a:lstStyle/>
              <a:p>
                <a:pPr>
                  <a:defRPr sz="1400"/>
                </a:pPr>
                <a:r>
                  <a:rPr lang="en-US" sz="1400"/>
                  <a:t>Skill</a:t>
                </a:r>
                <a:r>
                  <a:rPr lang="en-US" sz="1400" baseline="0"/>
                  <a:t> Assessed</a:t>
                </a:r>
                <a:endParaRPr lang="en-US" sz="1400"/>
              </a:p>
            </c:rich>
          </c:tx>
          <c:layout>
            <c:manualLayout>
              <c:xMode val="edge"/>
              <c:yMode val="edge"/>
              <c:x val="0.46798491404790615"/>
              <c:y val="0.93332299489151749"/>
            </c:manualLayout>
          </c:layout>
          <c:overlay val="0"/>
        </c:title>
        <c:numFmt formatCode="General" sourceLinked="1"/>
        <c:majorTickMark val="out"/>
        <c:minorTickMark val="none"/>
        <c:tickLblPos val="nextTo"/>
        <c:txPr>
          <a:bodyPr/>
          <a:lstStyle/>
          <a:p>
            <a:pPr>
              <a:defRPr sz="1200"/>
            </a:pPr>
            <a:endParaRPr lang="en-US"/>
          </a:p>
        </c:txPr>
        <c:crossAx val="126558976"/>
        <c:crosses val="autoZero"/>
        <c:auto val="1"/>
        <c:lblAlgn val="ctr"/>
        <c:lblOffset val="100"/>
        <c:noMultiLvlLbl val="0"/>
      </c:catAx>
      <c:valAx>
        <c:axId val="126558976"/>
        <c:scaling>
          <c:orientation val="minMax"/>
        </c:scaling>
        <c:delete val="0"/>
        <c:axPos val="l"/>
        <c:title>
          <c:tx>
            <c:rich>
              <a:bodyPr rot="-5400000" vert="horz"/>
              <a:lstStyle/>
              <a:p>
                <a:pPr>
                  <a:defRPr sz="1400"/>
                </a:pPr>
                <a:r>
                  <a:rPr lang="en-US" sz="1400"/>
                  <a:t>Fraction Correct </a:t>
                </a:r>
              </a:p>
            </c:rich>
          </c:tx>
          <c:layout>
            <c:manualLayout>
              <c:xMode val="edge"/>
              <c:yMode val="edge"/>
              <c:x val="4.7843351188303152E-3"/>
              <c:y val="0.16812708237143892"/>
            </c:manualLayout>
          </c:layout>
          <c:overlay val="0"/>
        </c:title>
        <c:numFmt formatCode="0%" sourceLinked="0"/>
        <c:majorTickMark val="out"/>
        <c:minorTickMark val="none"/>
        <c:tickLblPos val="nextTo"/>
        <c:txPr>
          <a:bodyPr/>
          <a:lstStyle/>
          <a:p>
            <a:pPr>
              <a:defRPr sz="1200"/>
            </a:pPr>
            <a:endParaRPr lang="en-US"/>
          </a:p>
        </c:txPr>
        <c:crossAx val="126556800"/>
        <c:crosses val="autoZero"/>
        <c:crossBetween val="between"/>
      </c:valAx>
      <c:spPr>
        <a:ln>
          <a:noFill/>
        </a:ln>
      </c:spPr>
    </c:plotArea>
    <c:legend>
      <c:legendPos val="r"/>
      <c:layout>
        <c:manualLayout>
          <c:xMode val="edge"/>
          <c:yMode val="edge"/>
          <c:x val="0.16646850273268016"/>
          <c:y val="9.2861306105860533E-2"/>
          <c:w val="0.27615941433016639"/>
          <c:h val="9.9214287222140124E-2"/>
        </c:manualLayout>
      </c:layout>
      <c:overlay val="0"/>
      <c:txPr>
        <a:bodyPr/>
        <a:lstStyle/>
        <a:p>
          <a:pPr>
            <a:defRPr sz="14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scontakes</dc:creator>
  <cp:lastModifiedBy>tnazarenko</cp:lastModifiedBy>
  <cp:revision>3</cp:revision>
  <dcterms:created xsi:type="dcterms:W3CDTF">2016-02-12T19:40:00Z</dcterms:created>
  <dcterms:modified xsi:type="dcterms:W3CDTF">2016-02-12T23:54:00Z</dcterms:modified>
</cp:coreProperties>
</file>